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314" w:right="0" w:firstLine="0"/>
        <w:rPr>
          <w:rFonts w:ascii="Times New Roman"/>
          <w:sz w:val="20"/>
        </w:rPr>
      </w:pPr>
      <w:r>
        <w:rPr>
          <w:rFonts w:ascii="Times New Roman"/>
          <w:sz w:val="20"/>
        </w:rPr>
        <w:drawing>
          <wp:inline distT="0" distB="0" distL="0" distR="0">
            <wp:extent cx="1369019" cy="549306"/>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69019" cy="549306"/>
                    </a:xfrm>
                    <a:prstGeom prst="rect">
                      <a:avLst/>
                    </a:prstGeom>
                  </pic:spPr>
                </pic:pic>
              </a:graphicData>
            </a:graphic>
          </wp:inline>
        </w:drawing>
      </w:r>
      <w:r>
        <w:rPr>
          <w:rFonts w:ascii="Times New Roman"/>
          <w:sz w:val="20"/>
        </w:rPr>
      </w:r>
    </w:p>
    <w:p>
      <w:pPr>
        <w:spacing w:line="249" w:lineRule="auto" w:before="229"/>
        <w:ind w:left="1119" w:right="1115" w:hanging="4"/>
        <w:jc w:val="center"/>
        <w:rPr>
          <w:b/>
          <w:sz w:val="22"/>
        </w:rPr>
      </w:pPr>
      <w:r>
        <w:rPr>
          <w:b/>
          <w:sz w:val="22"/>
        </w:rPr>
        <mc:AlternateContent>
          <mc:Choice Requires="wps">
            <w:drawing>
              <wp:anchor distT="0" distB="0" distL="0" distR="0" allowOverlap="1" layoutInCell="1" locked="0" behindDoc="1" simplePos="0" relativeHeight="487587840">
                <wp:simplePos x="0" y="0"/>
                <wp:positionH relativeFrom="page">
                  <wp:posOffset>1062532</wp:posOffset>
                </wp:positionH>
                <wp:positionV relativeFrom="paragraph">
                  <wp:posOffset>699008</wp:posOffset>
                </wp:positionV>
                <wp:extent cx="5437505" cy="1841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37505" cy="18415"/>
                        </a:xfrm>
                        <a:custGeom>
                          <a:avLst/>
                          <a:gdLst/>
                          <a:ahLst/>
                          <a:cxnLst/>
                          <a:rect l="l" t="t" r="r" b="b"/>
                          <a:pathLst>
                            <a:path w="5437505" h="18415">
                              <a:moveTo>
                                <a:pt x="5437378" y="0"/>
                              </a:moveTo>
                              <a:lnTo>
                                <a:pt x="0" y="0"/>
                              </a:lnTo>
                              <a:lnTo>
                                <a:pt x="0" y="18288"/>
                              </a:lnTo>
                              <a:lnTo>
                                <a:pt x="5437378" y="18288"/>
                              </a:lnTo>
                              <a:lnTo>
                                <a:pt x="5437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55.040001pt;width:428.14pt;height:1.44pt;mso-position-horizontal-relative:page;mso-position-vertical-relative:paragraph;z-index:-15728640;mso-wrap-distance-left:0;mso-wrap-distance-right:0" id="docshape3" filled="true" fillcolor="#000000" stroked="false">
                <v:fill type="solid"/>
                <w10:wrap type="topAndBottom"/>
              </v:rect>
            </w:pict>
          </mc:Fallback>
        </mc:AlternateContent>
      </w:r>
      <w:r>
        <w:rPr>
          <w:b/>
          <w:sz w:val="22"/>
        </w:rPr>
        <w:t>SECRETARIA MUNICIPAL DE DIREITOS HUMANOS E CIDADANIA COORDENAÇÃO</w:t>
      </w:r>
      <w:r>
        <w:rPr>
          <w:b/>
          <w:spacing w:val="-11"/>
          <w:sz w:val="22"/>
        </w:rPr>
        <w:t> </w:t>
      </w:r>
      <w:r>
        <w:rPr>
          <w:b/>
          <w:sz w:val="22"/>
        </w:rPr>
        <w:t>DE</w:t>
      </w:r>
      <w:r>
        <w:rPr>
          <w:b/>
          <w:spacing w:val="-10"/>
          <w:sz w:val="22"/>
        </w:rPr>
        <w:t> </w:t>
      </w:r>
      <w:r>
        <w:rPr>
          <w:b/>
          <w:sz w:val="22"/>
        </w:rPr>
        <w:t>POLÍTICAS</w:t>
      </w:r>
      <w:r>
        <w:rPr>
          <w:b/>
          <w:spacing w:val="-9"/>
          <w:sz w:val="22"/>
        </w:rPr>
        <w:t> </w:t>
      </w:r>
      <w:r>
        <w:rPr>
          <w:b/>
          <w:sz w:val="22"/>
        </w:rPr>
        <w:t>PARA</w:t>
      </w:r>
      <w:r>
        <w:rPr>
          <w:b/>
          <w:spacing w:val="-8"/>
          <w:sz w:val="22"/>
        </w:rPr>
        <w:t> </w:t>
      </w:r>
      <w:r>
        <w:rPr>
          <w:b/>
          <w:sz w:val="22"/>
        </w:rPr>
        <w:t>POPULAÇÃO</w:t>
      </w:r>
      <w:r>
        <w:rPr>
          <w:b/>
          <w:spacing w:val="-11"/>
          <w:sz w:val="22"/>
        </w:rPr>
        <w:t> </w:t>
      </w:r>
      <w:r>
        <w:rPr>
          <w:b/>
          <w:sz w:val="22"/>
        </w:rPr>
        <w:t>EM</w:t>
      </w:r>
      <w:r>
        <w:rPr>
          <w:b/>
          <w:spacing w:val="-12"/>
          <w:sz w:val="22"/>
        </w:rPr>
        <w:t> </w:t>
      </w:r>
      <w:r>
        <w:rPr>
          <w:b/>
          <w:sz w:val="22"/>
        </w:rPr>
        <w:t>SITUAÇÃO</w:t>
      </w:r>
      <w:r>
        <w:rPr>
          <w:b/>
          <w:spacing w:val="-11"/>
          <w:sz w:val="22"/>
        </w:rPr>
        <w:t> </w:t>
      </w:r>
      <w:r>
        <w:rPr>
          <w:b/>
          <w:sz w:val="22"/>
        </w:rPr>
        <w:t>DE</w:t>
      </w:r>
      <w:r>
        <w:rPr>
          <w:b/>
          <w:spacing w:val="-10"/>
          <w:sz w:val="22"/>
        </w:rPr>
        <w:t> </w:t>
      </w:r>
      <w:r>
        <w:rPr>
          <w:b/>
          <w:sz w:val="22"/>
        </w:rPr>
        <w:t>RUA SUBCOMITÊ PERMANENTE DE ZELADORIA URBANA</w:t>
      </w:r>
    </w:p>
    <w:p>
      <w:pPr>
        <w:pStyle w:val="Heading1"/>
        <w:spacing w:before="239"/>
        <w:ind w:right="1"/>
      </w:pPr>
      <w:r>
        <w:rPr>
          <w:color w:val="231F20"/>
        </w:rPr>
        <w:t>ATA</w:t>
      </w:r>
      <w:r>
        <w:rPr>
          <w:color w:val="231F20"/>
          <w:spacing w:val="-14"/>
        </w:rPr>
        <w:t> </w:t>
      </w:r>
      <w:r>
        <w:rPr>
          <w:color w:val="231F20"/>
        </w:rPr>
        <w:t>DE</w:t>
      </w:r>
      <w:r>
        <w:rPr>
          <w:color w:val="231F20"/>
          <w:spacing w:val="-15"/>
        </w:rPr>
        <w:t> </w:t>
      </w:r>
      <w:r>
        <w:rPr>
          <w:color w:val="231F20"/>
        </w:rPr>
        <w:t>REUNIÃO</w:t>
      </w:r>
      <w:r>
        <w:rPr>
          <w:color w:val="231F20"/>
          <w:spacing w:val="-15"/>
        </w:rPr>
        <w:t> </w:t>
      </w:r>
      <w:r>
        <w:rPr>
          <w:color w:val="231F20"/>
        </w:rPr>
        <w:t>Nº</w:t>
      </w:r>
      <w:r>
        <w:rPr>
          <w:color w:val="231F20"/>
          <w:spacing w:val="-15"/>
        </w:rPr>
        <w:t> </w:t>
      </w:r>
      <w:r>
        <w:rPr>
          <w:color w:val="231F20"/>
          <w:spacing w:val="-5"/>
        </w:rPr>
        <w:t>59</w:t>
      </w:r>
    </w:p>
    <w:p>
      <w:pPr>
        <w:spacing w:line="341" w:lineRule="exact" w:before="0"/>
        <w:ind w:left="3" w:right="0" w:firstLine="0"/>
        <w:jc w:val="center"/>
        <w:rPr>
          <w:b/>
          <w:sz w:val="28"/>
        </w:rPr>
      </w:pPr>
      <w:r>
        <w:rPr>
          <w:b/>
          <w:color w:val="231F20"/>
          <w:sz w:val="28"/>
        </w:rPr>
        <w:t>SUBCOMITÊ</w:t>
      </w:r>
      <w:r>
        <w:rPr>
          <w:b/>
          <w:color w:val="231F20"/>
          <w:spacing w:val="-9"/>
          <w:sz w:val="28"/>
        </w:rPr>
        <w:t> </w:t>
      </w:r>
      <w:r>
        <w:rPr>
          <w:b/>
          <w:color w:val="231F20"/>
          <w:sz w:val="28"/>
        </w:rPr>
        <w:t>PERMANENTE</w:t>
      </w:r>
      <w:r>
        <w:rPr>
          <w:b/>
          <w:color w:val="231F20"/>
          <w:spacing w:val="-7"/>
          <w:sz w:val="28"/>
        </w:rPr>
        <w:t> </w:t>
      </w:r>
      <w:r>
        <w:rPr>
          <w:b/>
          <w:color w:val="231F20"/>
          <w:sz w:val="28"/>
        </w:rPr>
        <w:t>DE</w:t>
      </w:r>
      <w:r>
        <w:rPr>
          <w:b/>
          <w:color w:val="231F20"/>
          <w:spacing w:val="-5"/>
          <w:sz w:val="28"/>
        </w:rPr>
        <w:t> </w:t>
      </w:r>
      <w:r>
        <w:rPr>
          <w:b/>
          <w:color w:val="231F20"/>
          <w:sz w:val="28"/>
        </w:rPr>
        <w:t>ZELADORIA</w:t>
      </w:r>
      <w:r>
        <w:rPr>
          <w:b/>
          <w:color w:val="231F20"/>
          <w:spacing w:val="-5"/>
          <w:sz w:val="28"/>
        </w:rPr>
        <w:t> </w:t>
      </w:r>
      <w:r>
        <w:rPr>
          <w:b/>
          <w:color w:val="231F20"/>
          <w:spacing w:val="-2"/>
          <w:sz w:val="28"/>
        </w:rPr>
        <w:t>URBANA</w:t>
      </w:r>
    </w:p>
    <w:p>
      <w:pPr>
        <w:spacing w:before="2"/>
        <w:ind w:left="3" w:right="1" w:firstLine="0"/>
        <w:jc w:val="center"/>
        <w:rPr>
          <w:sz w:val="24"/>
        </w:rPr>
      </w:pPr>
      <w:r>
        <w:rPr>
          <w:sz w:val="24"/>
        </w:rPr>
        <w:t>REALIZADA</w:t>
      </w:r>
      <w:r>
        <w:rPr>
          <w:spacing w:val="-5"/>
          <w:sz w:val="24"/>
        </w:rPr>
        <w:t> </w:t>
      </w:r>
      <w:r>
        <w:rPr>
          <w:sz w:val="24"/>
        </w:rPr>
        <w:t>NO</w:t>
      </w:r>
      <w:r>
        <w:rPr>
          <w:spacing w:val="-3"/>
          <w:sz w:val="24"/>
        </w:rPr>
        <w:t> </w:t>
      </w:r>
      <w:r>
        <w:rPr>
          <w:sz w:val="24"/>
        </w:rPr>
        <w:t>DIA</w:t>
      </w:r>
      <w:r>
        <w:rPr>
          <w:spacing w:val="-4"/>
          <w:sz w:val="24"/>
        </w:rPr>
        <w:t> </w:t>
      </w:r>
      <w:r>
        <w:rPr>
          <w:sz w:val="24"/>
        </w:rPr>
        <w:t>29</w:t>
      </w:r>
      <w:r>
        <w:rPr>
          <w:spacing w:val="-3"/>
          <w:sz w:val="24"/>
        </w:rPr>
        <w:t> </w:t>
      </w:r>
      <w:r>
        <w:rPr>
          <w:sz w:val="24"/>
        </w:rPr>
        <w:t>DE</w:t>
      </w:r>
      <w:r>
        <w:rPr>
          <w:spacing w:val="-1"/>
          <w:sz w:val="24"/>
        </w:rPr>
        <w:t> </w:t>
      </w:r>
      <w:r>
        <w:rPr>
          <w:sz w:val="24"/>
        </w:rPr>
        <w:t>ABRIL</w:t>
      </w:r>
      <w:r>
        <w:rPr>
          <w:spacing w:val="-2"/>
          <w:sz w:val="24"/>
        </w:rPr>
        <w:t> </w:t>
      </w:r>
      <w:r>
        <w:rPr>
          <w:sz w:val="24"/>
        </w:rPr>
        <w:t>DE</w:t>
      </w:r>
      <w:r>
        <w:rPr>
          <w:spacing w:val="-1"/>
          <w:sz w:val="24"/>
        </w:rPr>
        <w:t> </w:t>
      </w:r>
      <w:r>
        <w:rPr>
          <w:spacing w:val="-4"/>
          <w:sz w:val="24"/>
        </w:rPr>
        <w:t>2026</w:t>
      </w:r>
    </w:p>
    <w:p>
      <w:pPr>
        <w:pStyle w:val="BodyText"/>
        <w:spacing w:before="249"/>
        <w:ind w:left="0"/>
        <w:rPr>
          <w:sz w:val="24"/>
        </w:rPr>
      </w:pPr>
    </w:p>
    <w:p>
      <w:pPr>
        <w:pStyle w:val="BodyText"/>
        <w:spacing w:line="259" w:lineRule="auto"/>
        <w:ind w:right="163"/>
      </w:pPr>
      <w:r>
        <w:rPr>
          <w:b/>
        </w:rPr>
        <w:t>Participantes</w:t>
      </w:r>
      <w:r>
        <w:rPr>
          <w:b/>
          <w:spacing w:val="-5"/>
        </w:rPr>
        <w:t> </w:t>
      </w:r>
      <w:r>
        <w:rPr>
          <w:b/>
        </w:rPr>
        <w:t>Governo:</w:t>
      </w:r>
      <w:r>
        <w:rPr>
          <w:b/>
          <w:spacing w:val="40"/>
        </w:rPr>
        <w:t> </w:t>
      </w:r>
      <w:r>
        <w:rPr/>
        <w:t>Josoé</w:t>
      </w:r>
      <w:r>
        <w:rPr>
          <w:spacing w:val="-6"/>
        </w:rPr>
        <w:t> </w:t>
      </w:r>
      <w:r>
        <w:rPr/>
        <w:t>Durval</w:t>
      </w:r>
      <w:r>
        <w:rPr>
          <w:spacing w:val="-7"/>
        </w:rPr>
        <w:t> </w:t>
      </w:r>
      <w:r>
        <w:rPr/>
        <w:t>(SMDHC);</w:t>
      </w:r>
      <w:r>
        <w:rPr>
          <w:spacing w:val="-6"/>
        </w:rPr>
        <w:t> </w:t>
      </w:r>
      <w:r>
        <w:rPr/>
        <w:t>Maria</w:t>
      </w:r>
      <w:r>
        <w:rPr>
          <w:spacing w:val="-7"/>
        </w:rPr>
        <w:t> </w:t>
      </w:r>
      <w:r>
        <w:rPr/>
        <w:t>Regina</w:t>
      </w:r>
      <w:r>
        <w:rPr>
          <w:spacing w:val="-4"/>
        </w:rPr>
        <w:t> </w:t>
      </w:r>
      <w:r>
        <w:rPr/>
        <w:t>(SMDHC),</w:t>
      </w:r>
      <w:r>
        <w:rPr>
          <w:spacing w:val="-4"/>
        </w:rPr>
        <w:t> </w:t>
      </w:r>
      <w:r>
        <w:rPr/>
        <w:t>Adriana</w:t>
      </w:r>
      <w:r>
        <w:rPr>
          <w:spacing w:val="-6"/>
        </w:rPr>
        <w:t> </w:t>
      </w:r>
      <w:r>
        <w:rPr/>
        <w:t>Apolinário (SMDHC), Gildo José (SMDHC), Luciana Navarro (SMDHC),</w:t>
      </w:r>
      <w:r>
        <w:rPr>
          <w:spacing w:val="40"/>
        </w:rPr>
        <w:t> </w:t>
      </w:r>
      <w:r>
        <w:rPr/>
        <w:t>Inspetor Valim (GCM), Erico CasaGrande (SMSUB), Luciana Braga (SGM), Mary Luciana (SMADS).</w:t>
      </w:r>
    </w:p>
    <w:p>
      <w:pPr>
        <w:pStyle w:val="BodyText"/>
        <w:spacing w:before="21"/>
        <w:ind w:left="0"/>
      </w:pPr>
    </w:p>
    <w:p>
      <w:pPr>
        <w:spacing w:before="0"/>
        <w:ind w:left="143" w:right="0" w:firstLine="0"/>
        <w:jc w:val="both"/>
        <w:rPr>
          <w:sz w:val="22"/>
        </w:rPr>
      </w:pPr>
      <w:r>
        <w:rPr>
          <w:b/>
          <w:sz w:val="22"/>
        </w:rPr>
        <w:t>Participantes</w:t>
      </w:r>
      <w:r>
        <w:rPr>
          <w:b/>
          <w:spacing w:val="-9"/>
          <w:sz w:val="22"/>
        </w:rPr>
        <w:t> </w:t>
      </w:r>
      <w:r>
        <w:rPr>
          <w:b/>
          <w:sz w:val="22"/>
        </w:rPr>
        <w:t>Sociedade</w:t>
      </w:r>
      <w:r>
        <w:rPr>
          <w:b/>
          <w:spacing w:val="-10"/>
          <w:sz w:val="22"/>
        </w:rPr>
        <w:t> </w:t>
      </w:r>
      <w:r>
        <w:rPr>
          <w:b/>
          <w:sz w:val="22"/>
        </w:rPr>
        <w:t>Civil:</w:t>
      </w:r>
      <w:r>
        <w:rPr>
          <w:b/>
          <w:spacing w:val="-8"/>
          <w:sz w:val="22"/>
        </w:rPr>
        <w:t> </w:t>
      </w:r>
      <w:r>
        <w:rPr>
          <w:sz w:val="22"/>
        </w:rPr>
        <w:t>Gisele</w:t>
      </w:r>
      <w:r>
        <w:rPr>
          <w:spacing w:val="-9"/>
          <w:sz w:val="22"/>
        </w:rPr>
        <w:t> </w:t>
      </w:r>
      <w:r>
        <w:rPr>
          <w:spacing w:val="-2"/>
          <w:sz w:val="22"/>
        </w:rPr>
        <w:t>Abreu.</w:t>
      </w:r>
    </w:p>
    <w:p>
      <w:pPr>
        <w:pStyle w:val="BodyText"/>
        <w:spacing w:before="41"/>
        <w:ind w:left="0"/>
      </w:pPr>
    </w:p>
    <w:p>
      <w:pPr>
        <w:spacing w:line="259" w:lineRule="auto" w:before="0"/>
        <w:ind w:left="143" w:right="163" w:firstLine="0"/>
        <w:jc w:val="left"/>
        <w:rPr>
          <w:sz w:val="22"/>
        </w:rPr>
      </w:pPr>
      <w:r>
        <w:rPr>
          <w:b/>
          <w:sz w:val="22"/>
        </w:rPr>
        <w:t>Participantes</w:t>
      </w:r>
      <w:r>
        <w:rPr>
          <w:b/>
          <w:spacing w:val="-7"/>
          <w:sz w:val="22"/>
        </w:rPr>
        <w:t> </w:t>
      </w:r>
      <w:r>
        <w:rPr>
          <w:b/>
          <w:sz w:val="22"/>
        </w:rPr>
        <w:t>Organização</w:t>
      </w:r>
      <w:r>
        <w:rPr>
          <w:b/>
          <w:spacing w:val="-10"/>
          <w:sz w:val="22"/>
        </w:rPr>
        <w:t> </w:t>
      </w:r>
      <w:r>
        <w:rPr>
          <w:b/>
          <w:sz w:val="22"/>
        </w:rPr>
        <w:t>Social:</w:t>
      </w:r>
      <w:r>
        <w:rPr>
          <w:b/>
          <w:spacing w:val="-6"/>
          <w:sz w:val="22"/>
        </w:rPr>
        <w:t> </w:t>
      </w:r>
      <w:r>
        <w:rPr>
          <w:sz w:val="22"/>
        </w:rPr>
        <w:t>Beatriz</w:t>
      </w:r>
      <w:r>
        <w:rPr>
          <w:spacing w:val="-9"/>
          <w:sz w:val="22"/>
        </w:rPr>
        <w:t> </w:t>
      </w:r>
      <w:r>
        <w:rPr>
          <w:sz w:val="22"/>
        </w:rPr>
        <w:t>Clemente</w:t>
      </w:r>
      <w:r>
        <w:rPr>
          <w:spacing w:val="-5"/>
          <w:sz w:val="22"/>
        </w:rPr>
        <w:t> </w:t>
      </w:r>
      <w:r>
        <w:rPr>
          <w:sz w:val="22"/>
        </w:rPr>
        <w:t>(Fórum</w:t>
      </w:r>
      <w:r>
        <w:rPr>
          <w:spacing w:val="-9"/>
          <w:sz w:val="22"/>
        </w:rPr>
        <w:t> </w:t>
      </w:r>
      <w:r>
        <w:rPr>
          <w:sz w:val="22"/>
        </w:rPr>
        <w:t>da</w:t>
      </w:r>
      <w:r>
        <w:rPr>
          <w:spacing w:val="-7"/>
          <w:sz w:val="22"/>
        </w:rPr>
        <w:t> </w:t>
      </w:r>
      <w:r>
        <w:rPr>
          <w:sz w:val="22"/>
        </w:rPr>
        <w:t>Cidade),</w:t>
      </w:r>
      <w:r>
        <w:rPr>
          <w:spacing w:val="-9"/>
          <w:sz w:val="22"/>
        </w:rPr>
        <w:t> </w:t>
      </w:r>
      <w:r>
        <w:rPr>
          <w:sz w:val="22"/>
        </w:rPr>
        <w:t>Sheila</w:t>
      </w:r>
      <w:r>
        <w:rPr>
          <w:spacing w:val="-10"/>
          <w:sz w:val="22"/>
        </w:rPr>
        <w:t> </w:t>
      </w:r>
      <w:r>
        <w:rPr>
          <w:sz w:val="22"/>
        </w:rPr>
        <w:t>Marcolino (Centro Gaspar Garcia).</w:t>
      </w:r>
    </w:p>
    <w:p>
      <w:pPr>
        <w:pStyle w:val="BodyText"/>
        <w:spacing w:before="20"/>
        <w:ind w:left="0"/>
      </w:pPr>
    </w:p>
    <w:p>
      <w:pPr>
        <w:pStyle w:val="BodyText"/>
        <w:spacing w:line="259" w:lineRule="auto"/>
        <w:ind w:right="163"/>
      </w:pPr>
      <w:r>
        <w:rPr>
          <w:b/>
        </w:rPr>
        <w:t>Convidado:</w:t>
      </w:r>
      <w:r>
        <w:rPr>
          <w:b/>
          <w:spacing w:val="-8"/>
        </w:rPr>
        <w:t> </w:t>
      </w:r>
      <w:r>
        <w:rPr/>
        <w:t>Daniela</w:t>
      </w:r>
      <w:r>
        <w:rPr>
          <w:spacing w:val="-10"/>
        </w:rPr>
        <w:t> </w:t>
      </w:r>
      <w:r>
        <w:rPr/>
        <w:t>Santiago</w:t>
      </w:r>
      <w:r>
        <w:rPr>
          <w:spacing w:val="-5"/>
        </w:rPr>
        <w:t> </w:t>
      </w:r>
      <w:r>
        <w:rPr/>
        <w:t>(SMDHC),</w:t>
      </w:r>
      <w:r>
        <w:rPr>
          <w:spacing w:val="-7"/>
        </w:rPr>
        <w:t> </w:t>
      </w:r>
      <w:r>
        <w:rPr/>
        <w:t>Roseli</w:t>
      </w:r>
      <w:r>
        <w:rPr>
          <w:spacing w:val="-9"/>
        </w:rPr>
        <w:t> </w:t>
      </w:r>
      <w:r>
        <w:rPr/>
        <w:t>Kraemer,</w:t>
      </w:r>
      <w:r>
        <w:rPr>
          <w:spacing w:val="-10"/>
        </w:rPr>
        <w:t> </w:t>
      </w:r>
      <w:r>
        <w:rPr/>
        <w:t>Maria</w:t>
      </w:r>
      <w:r>
        <w:rPr>
          <w:spacing w:val="-9"/>
        </w:rPr>
        <w:t> </w:t>
      </w:r>
      <w:r>
        <w:rPr/>
        <w:t>Thaune,</w:t>
      </w:r>
      <w:r>
        <w:rPr>
          <w:spacing w:val="-7"/>
        </w:rPr>
        <w:t> </w:t>
      </w:r>
      <w:r>
        <w:rPr/>
        <w:t>Luiz</w:t>
      </w:r>
      <w:r>
        <w:rPr>
          <w:spacing w:val="-8"/>
        </w:rPr>
        <w:t> </w:t>
      </w:r>
      <w:r>
        <w:rPr/>
        <w:t>Thiago</w:t>
      </w:r>
      <w:r>
        <w:rPr>
          <w:spacing w:val="-8"/>
        </w:rPr>
        <w:t> </w:t>
      </w:r>
      <w:r>
        <w:rPr/>
        <w:t>Santos, Luciana Stein.</w:t>
      </w:r>
    </w:p>
    <w:p>
      <w:pPr>
        <w:pStyle w:val="BodyText"/>
        <w:spacing w:before="1"/>
        <w:ind w:left="0"/>
      </w:pPr>
    </w:p>
    <w:p>
      <w:pPr>
        <w:pStyle w:val="BodyText"/>
        <w:ind w:right="136"/>
        <w:jc w:val="both"/>
      </w:pPr>
      <w:r>
        <w:rPr/>
        <w:t>Às 15h20 do dia 29 do</w:t>
      </w:r>
      <w:r>
        <w:rPr>
          <w:spacing w:val="-2"/>
        </w:rPr>
        <w:t> </w:t>
      </w:r>
      <w:r>
        <w:rPr/>
        <w:t>mês de abril de 2026, iniciou-se a</w:t>
      </w:r>
      <w:r>
        <w:rPr>
          <w:spacing w:val="-1"/>
        </w:rPr>
        <w:t> </w:t>
      </w:r>
      <w:r>
        <w:rPr/>
        <w:t>reunião do subcomitê permanente de zeladoria urbana presidido pelo senhor Josoé Durval no qual fez a leitura dos relatórios referentes</w:t>
      </w:r>
      <w:r>
        <w:rPr>
          <w:spacing w:val="-4"/>
        </w:rPr>
        <w:t> </w:t>
      </w:r>
      <w:r>
        <w:rPr/>
        <w:t>aos</w:t>
      </w:r>
      <w:r>
        <w:rPr>
          <w:spacing w:val="-4"/>
        </w:rPr>
        <w:t> </w:t>
      </w:r>
      <w:r>
        <w:rPr/>
        <w:t>meses</w:t>
      </w:r>
      <w:r>
        <w:rPr>
          <w:spacing w:val="-1"/>
        </w:rPr>
        <w:t> </w:t>
      </w:r>
      <w:r>
        <w:rPr/>
        <w:t>de</w:t>
      </w:r>
      <w:r>
        <w:rPr>
          <w:spacing w:val="-4"/>
        </w:rPr>
        <w:t> </w:t>
      </w:r>
      <w:r>
        <w:rPr/>
        <w:t>novembro</w:t>
      </w:r>
      <w:r>
        <w:rPr>
          <w:spacing w:val="-2"/>
        </w:rPr>
        <w:t> </w:t>
      </w:r>
      <w:r>
        <w:rPr/>
        <w:t>e</w:t>
      </w:r>
      <w:r>
        <w:rPr>
          <w:spacing w:val="-4"/>
        </w:rPr>
        <w:t> </w:t>
      </w:r>
      <w:r>
        <w:rPr/>
        <w:t>dezembro</w:t>
      </w:r>
      <w:r>
        <w:rPr>
          <w:spacing w:val="-2"/>
        </w:rPr>
        <w:t> </w:t>
      </w:r>
      <w:r>
        <w:rPr/>
        <w:t>de</w:t>
      </w:r>
      <w:r>
        <w:rPr>
          <w:spacing w:val="-2"/>
        </w:rPr>
        <w:t> </w:t>
      </w:r>
      <w:r>
        <w:rPr/>
        <w:t>2025</w:t>
      </w:r>
      <w:r>
        <w:rPr>
          <w:spacing w:val="-4"/>
        </w:rPr>
        <w:t> </w:t>
      </w:r>
      <w:r>
        <w:rPr/>
        <w:t>e</w:t>
      </w:r>
      <w:r>
        <w:rPr>
          <w:spacing w:val="-2"/>
        </w:rPr>
        <w:t> </w:t>
      </w:r>
      <w:r>
        <w:rPr/>
        <w:t>janeiro do</w:t>
      </w:r>
      <w:r>
        <w:rPr>
          <w:spacing w:val="-2"/>
        </w:rPr>
        <w:t> </w:t>
      </w:r>
      <w:r>
        <w:rPr/>
        <w:t>ano</w:t>
      </w:r>
      <w:r>
        <w:rPr>
          <w:spacing w:val="-2"/>
        </w:rPr>
        <w:t> </w:t>
      </w:r>
      <w:r>
        <w:rPr/>
        <w:t>de</w:t>
      </w:r>
      <w:r>
        <w:rPr>
          <w:spacing w:val="-4"/>
        </w:rPr>
        <w:t> </w:t>
      </w:r>
      <w:r>
        <w:rPr/>
        <w:t>2026,</w:t>
      </w:r>
      <w:r>
        <w:rPr>
          <w:spacing w:val="-2"/>
        </w:rPr>
        <w:t> </w:t>
      </w:r>
      <w:r>
        <w:rPr/>
        <w:t>nos</w:t>
      </w:r>
      <w:r>
        <w:rPr>
          <w:spacing w:val="-3"/>
        </w:rPr>
        <w:t> </w:t>
      </w:r>
      <w:r>
        <w:rPr/>
        <w:t>quais</w:t>
      </w:r>
      <w:r>
        <w:rPr>
          <w:spacing w:val="-3"/>
        </w:rPr>
        <w:t> </w:t>
      </w:r>
      <w:r>
        <w:rPr/>
        <w:t>se colocaram os pontos principais de abordagem em relação a ação de zeladoria urbana.</w:t>
      </w:r>
    </w:p>
    <w:p>
      <w:pPr>
        <w:pStyle w:val="BodyText"/>
        <w:spacing w:before="6"/>
        <w:ind w:left="0"/>
      </w:pPr>
    </w:p>
    <w:p>
      <w:pPr>
        <w:pStyle w:val="BodyText"/>
        <w:spacing w:before="1"/>
        <w:ind w:right="135"/>
        <w:jc w:val="both"/>
      </w:pPr>
      <w:r>
        <w:rPr/>
        <w:t>Josoé iniciou a leitura destacando que o relatório, encaminhado por Mary Luciana, visa sistematizar as ações de zeladoria urbana conforme a Lei 17.252/2019 e o Decreto 59.246/2020. O documento ressalta a necessidade de ações humanizadas, com comunicação prévia de 72 horas e proibição do recolhimento de documentos e pertences pessoais. O relatório apontou que, em territórios onde houve cronograma prévio, a mediação social foi bem-sucedida; contudo, em locais sem aviso, houve dificuldades e perdas pontuais de pertences. Foi mencionada a resistência de alguns usuários em aceitar acolhimento devido a vínculos comunitários, animais de estimação e guarda de carroças.</w:t>
      </w:r>
    </w:p>
    <w:p>
      <w:pPr>
        <w:pStyle w:val="BodyText"/>
        <w:ind w:left="0"/>
      </w:pPr>
    </w:p>
    <w:p>
      <w:pPr>
        <w:pStyle w:val="BodyText"/>
        <w:ind w:right="141"/>
        <w:jc w:val="both"/>
      </w:pPr>
      <w:r>
        <w:rPr/>
        <w:t>Luciana Stein, pesquisadora que atua sob o Minhocão, solicitou acesso aos relatórios no chat. Denunciou a apreensão constante de carroças (ferramentas de trabalho) na região, questionando a legalidade e o sentido desse mecanismo de "lacre"</w:t>
      </w:r>
    </w:p>
    <w:p>
      <w:pPr>
        <w:pStyle w:val="BodyText"/>
        <w:spacing w:before="241"/>
        <w:ind w:right="139"/>
        <w:jc w:val="both"/>
      </w:pPr>
      <w:r>
        <w:rPr/>
        <w:t>A conselheira Gisele Abreu manifestou preocupação em relação a denúncias graves</w:t>
      </w:r>
      <w:r>
        <w:rPr>
          <w:spacing w:val="40"/>
        </w:rPr>
        <w:t> </w:t>
      </w:r>
      <w:r>
        <w:rPr/>
        <w:t>envolvendo serviços de zeladoria e atendimento à população em situação de rua. Ela relembrou um caso ocorrido anteriormente, no qual houve o falecimento de um morador de rua encontrado dentro de um freezer em uma unidade conhecida como “Chá do Padre”, destacando que, até o momento, não houve retorno conclusivo da perícia nem devolutiva aos órgãos de direitos humanos, apesar de a situação já ter sido formalmente encaminhada. A conselheira relatou que tem recebido diversas denúncias, acompanhadas de vídeos, que evidenciam irregularidades não apenas nessa unidade, mas também em outros núcleos, como o</w:t>
      </w:r>
      <w:r>
        <w:rPr>
          <w:spacing w:val="65"/>
        </w:rPr>
        <w:t> </w:t>
      </w:r>
      <w:r>
        <w:rPr/>
        <w:t>localizado</w:t>
      </w:r>
      <w:r>
        <w:rPr>
          <w:spacing w:val="66"/>
        </w:rPr>
        <w:t> </w:t>
      </w:r>
      <w:r>
        <w:rPr/>
        <w:t>em</w:t>
      </w:r>
      <w:r>
        <w:rPr>
          <w:spacing w:val="65"/>
        </w:rPr>
        <w:t> </w:t>
      </w:r>
      <w:r>
        <w:rPr/>
        <w:t>São</w:t>
      </w:r>
      <w:r>
        <w:rPr>
          <w:spacing w:val="64"/>
        </w:rPr>
        <w:t> </w:t>
      </w:r>
      <w:r>
        <w:rPr/>
        <w:t>Martins</w:t>
      </w:r>
      <w:r>
        <w:rPr>
          <w:spacing w:val="65"/>
        </w:rPr>
        <w:t> </w:t>
      </w:r>
      <w:r>
        <w:rPr/>
        <w:t>e</w:t>
      </w:r>
      <w:r>
        <w:rPr>
          <w:spacing w:val="64"/>
        </w:rPr>
        <w:t> </w:t>
      </w:r>
      <w:r>
        <w:rPr/>
        <w:t>na</w:t>
      </w:r>
      <w:r>
        <w:rPr>
          <w:spacing w:val="62"/>
        </w:rPr>
        <w:t> </w:t>
      </w:r>
      <w:r>
        <w:rPr/>
        <w:t>região</w:t>
      </w:r>
      <w:r>
        <w:rPr>
          <w:spacing w:val="66"/>
        </w:rPr>
        <w:t> </w:t>
      </w:r>
      <w:r>
        <w:rPr/>
        <w:t>da</w:t>
      </w:r>
      <w:r>
        <w:rPr>
          <w:spacing w:val="64"/>
        </w:rPr>
        <w:t> </w:t>
      </w:r>
      <w:r>
        <w:rPr/>
        <w:t>Armênia.</w:t>
      </w:r>
      <w:r>
        <w:rPr>
          <w:spacing w:val="64"/>
        </w:rPr>
        <w:t> </w:t>
      </w:r>
      <w:r>
        <w:rPr/>
        <w:t>Segundo</w:t>
      </w:r>
      <w:r>
        <w:rPr>
          <w:spacing w:val="64"/>
        </w:rPr>
        <w:t> </w:t>
      </w:r>
      <w:r>
        <w:rPr/>
        <w:t>os</w:t>
      </w:r>
      <w:r>
        <w:rPr>
          <w:spacing w:val="61"/>
        </w:rPr>
        <w:t> </w:t>
      </w:r>
      <w:r>
        <w:rPr/>
        <w:t>relatos,</w:t>
      </w:r>
      <w:r>
        <w:rPr>
          <w:spacing w:val="62"/>
        </w:rPr>
        <w:t> </w:t>
      </w:r>
      <w:r>
        <w:rPr/>
        <w:t>há</w:t>
      </w:r>
      <w:r>
        <w:rPr>
          <w:spacing w:val="65"/>
        </w:rPr>
        <w:t> </w:t>
      </w:r>
      <w:r>
        <w:rPr/>
        <w:t>falta</w:t>
      </w:r>
      <w:r>
        <w:rPr>
          <w:spacing w:val="65"/>
        </w:rPr>
        <w:t> </w:t>
      </w:r>
      <w:r>
        <w:rPr>
          <w:spacing w:val="-5"/>
        </w:rPr>
        <w:t>de</w:t>
      </w:r>
    </w:p>
    <w:p>
      <w:pPr>
        <w:pStyle w:val="BodyText"/>
        <w:spacing w:after="0"/>
        <w:jc w:val="both"/>
        <w:sectPr>
          <w:footerReference w:type="default" r:id="rId5"/>
          <w:type w:val="continuous"/>
          <w:pgSz w:w="11910" w:h="16840"/>
          <w:pgMar w:header="0" w:footer="1178" w:top="840" w:bottom="1360" w:left="1559" w:right="1559"/>
          <w:pgNumType w:start="1"/>
        </w:sectPr>
      </w:pPr>
    </w:p>
    <w:p>
      <w:pPr>
        <w:pStyle w:val="BodyText"/>
        <w:spacing w:before="44"/>
        <w:ind w:right="135"/>
        <w:jc w:val="both"/>
      </w:pPr>
      <w:r>
        <w:rPr/>
        <w:t>atendimento adequado, condições precárias de higiene, restrições de acesso a banheiros — inclusive com limitação para mulheres e crianças — e ausência de serviços básicos que deveriam ser oferecidos, como acolhimento, encaminhamento e suporte social. Ela ressaltou que, apesar do encerramento recente de uma das unidades após pressão da população e de comerciantes,</w:t>
      </w:r>
      <w:r>
        <w:rPr>
          <w:spacing w:val="-3"/>
        </w:rPr>
        <w:t> </w:t>
      </w:r>
      <w:r>
        <w:rPr/>
        <w:t>a</w:t>
      </w:r>
      <w:r>
        <w:rPr>
          <w:spacing w:val="-1"/>
        </w:rPr>
        <w:t> </w:t>
      </w:r>
      <w:r>
        <w:rPr/>
        <w:t>situação</w:t>
      </w:r>
      <w:r>
        <w:rPr>
          <w:spacing w:val="-4"/>
        </w:rPr>
        <w:t> </w:t>
      </w:r>
      <w:r>
        <w:rPr/>
        <w:t>evidencia</w:t>
      </w:r>
      <w:r>
        <w:rPr>
          <w:spacing w:val="-2"/>
        </w:rPr>
        <w:t> </w:t>
      </w:r>
      <w:r>
        <w:rPr/>
        <w:t>desrespeito</w:t>
      </w:r>
      <w:r>
        <w:rPr>
          <w:spacing w:val="-3"/>
        </w:rPr>
        <w:t> </w:t>
      </w:r>
      <w:r>
        <w:rPr/>
        <w:t>e</w:t>
      </w:r>
      <w:r>
        <w:rPr>
          <w:spacing w:val="-1"/>
        </w:rPr>
        <w:t> </w:t>
      </w:r>
      <w:r>
        <w:rPr/>
        <w:t>falta</w:t>
      </w:r>
      <w:r>
        <w:rPr>
          <w:spacing w:val="-3"/>
        </w:rPr>
        <w:t> </w:t>
      </w:r>
      <w:r>
        <w:rPr/>
        <w:t>de</w:t>
      </w:r>
      <w:r>
        <w:rPr>
          <w:spacing w:val="-1"/>
        </w:rPr>
        <w:t> </w:t>
      </w:r>
      <w:r>
        <w:rPr/>
        <w:t>dignidade</w:t>
      </w:r>
      <w:r>
        <w:rPr>
          <w:spacing w:val="-3"/>
        </w:rPr>
        <w:t> </w:t>
      </w:r>
      <w:r>
        <w:rPr/>
        <w:t>no</w:t>
      </w:r>
      <w:r>
        <w:rPr>
          <w:spacing w:val="-2"/>
        </w:rPr>
        <w:t> </w:t>
      </w:r>
      <w:r>
        <w:rPr/>
        <w:t>tratamento das</w:t>
      </w:r>
      <w:r>
        <w:rPr>
          <w:spacing w:val="-3"/>
        </w:rPr>
        <w:t> </w:t>
      </w:r>
      <w:r>
        <w:rPr/>
        <w:t>pessoas atendidas, especialmente considerando que a organização responsável recebe recursos públicos significativos. Também foram mencionadas denúncias sobre fornecimento de alimentação inadequada, incluindo marmitas estragadas, que teriam causado mal-estar nos usuários. Gisele Abreu criticou a discrepância entre os serviços relatados oficialmente em documentos e a realidade observada, afirmando que não há, na prática, o acompanhamento social</w:t>
      </w:r>
      <w:r>
        <w:rPr>
          <w:spacing w:val="-4"/>
        </w:rPr>
        <w:t> </w:t>
      </w:r>
      <w:r>
        <w:rPr/>
        <w:t>e os</w:t>
      </w:r>
      <w:r>
        <w:rPr>
          <w:spacing w:val="-1"/>
        </w:rPr>
        <w:t> </w:t>
      </w:r>
      <w:r>
        <w:rPr/>
        <w:t>atendimentos</w:t>
      </w:r>
      <w:r>
        <w:rPr>
          <w:spacing w:val="-1"/>
        </w:rPr>
        <w:t> </w:t>
      </w:r>
      <w:r>
        <w:rPr/>
        <w:t>previstos.</w:t>
      </w:r>
      <w:r>
        <w:rPr>
          <w:spacing w:val="-1"/>
        </w:rPr>
        <w:t> </w:t>
      </w:r>
      <w:r>
        <w:rPr/>
        <w:t>Segundo ela,</w:t>
      </w:r>
      <w:r>
        <w:rPr>
          <w:spacing w:val="-1"/>
        </w:rPr>
        <w:t> </w:t>
      </w:r>
      <w:r>
        <w:rPr/>
        <w:t>há</w:t>
      </w:r>
      <w:r>
        <w:rPr>
          <w:spacing w:val="-1"/>
        </w:rPr>
        <w:t> </w:t>
      </w:r>
      <w:r>
        <w:rPr/>
        <w:t>casos</w:t>
      </w:r>
      <w:r>
        <w:rPr>
          <w:spacing w:val="-3"/>
        </w:rPr>
        <w:t> </w:t>
      </w:r>
      <w:r>
        <w:rPr/>
        <w:t>em que o</w:t>
      </w:r>
      <w:r>
        <w:rPr>
          <w:spacing w:val="-2"/>
        </w:rPr>
        <w:t> </w:t>
      </w:r>
      <w:r>
        <w:rPr/>
        <w:t>acesso a</w:t>
      </w:r>
      <w:r>
        <w:rPr>
          <w:spacing w:val="-3"/>
        </w:rPr>
        <w:t> </w:t>
      </w:r>
      <w:r>
        <w:rPr/>
        <w:t>assistentes</w:t>
      </w:r>
      <w:r>
        <w:rPr>
          <w:spacing w:val="-3"/>
        </w:rPr>
        <w:t> </w:t>
      </w:r>
      <w:r>
        <w:rPr/>
        <w:t>sociais é extremamente limitado, chegando a poucos atendimentos mensais, o que compromete o suporte à população vulnerável. Além disso, a conselheira solicitou providências quanto à fiscalização das unidades mencionadas, incluindo apuração rigorosa sobre a morte já citada e sobre as condições atuais de atendimento. Destacou ainda que há pessoas permanecendo nas calçadas, sem acesso adequado a banho, alimentação digna e serviços de saúde, contrariando as diretrizes estabelecidas para funcionamento desses núcleos. Por fim, reforçou que sua fala se baseia em denúncias documentadas e na escuta direta da população afetada, cobrando respostas efetivas, transparência e responsabilização dos gestores envolvidos, bem como melhorias urgentes nas condições de atendimento oferecidos.</w:t>
      </w:r>
    </w:p>
    <w:p>
      <w:pPr>
        <w:pStyle w:val="BodyText"/>
        <w:spacing w:before="241"/>
        <w:ind w:right="135"/>
        <w:jc w:val="both"/>
      </w:pPr>
      <w:r>
        <w:rPr/>
        <w:t>Beatriz Clemente (Fórum da Cidade), iniciou sua fala cumprimentando os presentes e justificando</w:t>
      </w:r>
      <w:r>
        <w:rPr>
          <w:spacing w:val="-3"/>
        </w:rPr>
        <w:t> </w:t>
      </w:r>
      <w:r>
        <w:rPr/>
        <w:t>um</w:t>
      </w:r>
      <w:r>
        <w:rPr>
          <w:spacing w:val="-3"/>
        </w:rPr>
        <w:t> </w:t>
      </w:r>
      <w:r>
        <w:rPr/>
        <w:t>breve</w:t>
      </w:r>
      <w:r>
        <w:rPr>
          <w:spacing w:val="-3"/>
        </w:rPr>
        <w:t> </w:t>
      </w:r>
      <w:r>
        <w:rPr/>
        <w:t>atraso</w:t>
      </w:r>
      <w:r>
        <w:rPr>
          <w:spacing w:val="-3"/>
        </w:rPr>
        <w:t> </w:t>
      </w:r>
      <w:r>
        <w:rPr/>
        <w:t>em</w:t>
      </w:r>
      <w:r>
        <w:rPr>
          <w:spacing w:val="-5"/>
        </w:rPr>
        <w:t> </w:t>
      </w:r>
      <w:r>
        <w:rPr/>
        <w:t>razão</w:t>
      </w:r>
      <w:r>
        <w:rPr>
          <w:spacing w:val="-3"/>
        </w:rPr>
        <w:t> </w:t>
      </w:r>
      <w:r>
        <w:rPr/>
        <w:t>de</w:t>
      </w:r>
      <w:r>
        <w:rPr>
          <w:spacing w:val="-3"/>
        </w:rPr>
        <w:t> </w:t>
      </w:r>
      <w:r>
        <w:rPr/>
        <w:t>uma</w:t>
      </w:r>
      <w:r>
        <w:rPr>
          <w:spacing w:val="-6"/>
        </w:rPr>
        <w:t> </w:t>
      </w:r>
      <w:r>
        <w:rPr/>
        <w:t>atividade</w:t>
      </w:r>
      <w:r>
        <w:rPr>
          <w:spacing w:val="-3"/>
        </w:rPr>
        <w:t> </w:t>
      </w:r>
      <w:r>
        <w:rPr/>
        <w:t>interna</w:t>
      </w:r>
      <w:r>
        <w:rPr>
          <w:spacing w:val="-4"/>
        </w:rPr>
        <w:t> </w:t>
      </w:r>
      <w:r>
        <w:rPr/>
        <w:t>de</w:t>
      </w:r>
      <w:r>
        <w:rPr>
          <w:spacing w:val="-6"/>
        </w:rPr>
        <w:t> </w:t>
      </w:r>
      <w:r>
        <w:rPr/>
        <w:t>celebração</w:t>
      </w:r>
      <w:r>
        <w:rPr>
          <w:spacing w:val="-5"/>
        </w:rPr>
        <w:t> </w:t>
      </w:r>
      <w:r>
        <w:rPr/>
        <w:t>dos</w:t>
      </w:r>
      <w:r>
        <w:rPr>
          <w:spacing w:val="-4"/>
        </w:rPr>
        <w:t> </w:t>
      </w:r>
      <w:r>
        <w:rPr/>
        <w:t>aniversários dos participantes, ocasião em que são oferecidos itens como bolo, presentes e lembranças comemorativas. Em seguida, apresentou esclarecimentos sobre o caso do falecimento de um usuário ocorrido anteriormente, informando que o laudo da polícia técnico-científica já foi concluído e que o processo foi encerrado. Segundo relatou, a causa da morte foi hipotermia, após o indivíduo ter entrado em um freezer para se abrigar, caracterizando o ocorrido como uma fatalidade.</w:t>
      </w:r>
      <w:r>
        <w:rPr>
          <w:spacing w:val="-3"/>
        </w:rPr>
        <w:t> </w:t>
      </w:r>
      <w:r>
        <w:rPr/>
        <w:t>Acrescentou</w:t>
      </w:r>
      <w:r>
        <w:rPr>
          <w:spacing w:val="-1"/>
        </w:rPr>
        <w:t> </w:t>
      </w:r>
      <w:r>
        <w:rPr/>
        <w:t>que o</w:t>
      </w:r>
      <w:r>
        <w:rPr>
          <w:spacing w:val="-1"/>
        </w:rPr>
        <w:t> </w:t>
      </w:r>
      <w:r>
        <w:rPr/>
        <w:t>usuário possuía histórico</w:t>
      </w:r>
      <w:r>
        <w:rPr>
          <w:spacing w:val="-1"/>
        </w:rPr>
        <w:t> </w:t>
      </w:r>
      <w:r>
        <w:rPr/>
        <w:t>de problemas de</w:t>
      </w:r>
      <w:r>
        <w:rPr>
          <w:spacing w:val="-2"/>
        </w:rPr>
        <w:t> </w:t>
      </w:r>
      <w:r>
        <w:rPr/>
        <w:t>saúde mental</w:t>
      </w:r>
      <w:r>
        <w:rPr>
          <w:spacing w:val="-1"/>
        </w:rPr>
        <w:t> </w:t>
      </w:r>
      <w:r>
        <w:rPr/>
        <w:t>há cerca de 20 anos e que a família esteve presente para acompanhar os desdobramentos, tendo a equipe do serviço também participado do funeral. Ressaltou que o episódio gerou grande impacto emocional na equipe e reiterou que, conforme o laudo, a instituição não teve responsabilidade pelo</w:t>
      </w:r>
      <w:r>
        <w:rPr>
          <w:spacing w:val="-2"/>
        </w:rPr>
        <w:t> </w:t>
      </w:r>
      <w:r>
        <w:rPr/>
        <w:t>ocorrido. Quanto às demais denúncias mencionadas anteriormente pela conselheira Gisele Abreu, Beatriz Clemente optou por não as responder diretamente naquele momento, afirmando estar concentrada em suas atribuições. No entanto, colocou-se à disposição para demonstrar, de forma prática, o funcionamento do serviço, inclusive convidando os presentes a visitarem o local, conhecerem a cozinha, o refeitório e acompanharem a distribuição das refeições. Destacou que a unidade segue normas sanitárias rigorosas, com acompanhamento frequente da Vigilância Sanitária, controle de temperatura dos alimentos — que devem ser servidos a 60 graus — e organização no armazenamento e distribuição das marmitas. Salientou ainda que os usuários são atendidos com dignidade, realizando</w:t>
      </w:r>
      <w:r>
        <w:rPr>
          <w:spacing w:val="-5"/>
        </w:rPr>
        <w:t> </w:t>
      </w:r>
      <w:r>
        <w:rPr/>
        <w:t>suas</w:t>
      </w:r>
      <w:r>
        <w:rPr>
          <w:spacing w:val="-6"/>
        </w:rPr>
        <w:t> </w:t>
      </w:r>
      <w:r>
        <w:rPr/>
        <w:t>refeições</w:t>
      </w:r>
      <w:r>
        <w:rPr>
          <w:spacing w:val="-5"/>
        </w:rPr>
        <w:t> </w:t>
      </w:r>
      <w:r>
        <w:rPr/>
        <w:t>sentados,</w:t>
      </w:r>
      <w:r>
        <w:rPr>
          <w:spacing w:val="-6"/>
        </w:rPr>
        <w:t> </w:t>
      </w:r>
      <w:r>
        <w:rPr/>
        <w:t>com</w:t>
      </w:r>
      <w:r>
        <w:rPr>
          <w:spacing w:val="-5"/>
        </w:rPr>
        <w:t> </w:t>
      </w:r>
      <w:r>
        <w:rPr/>
        <w:t>uso</w:t>
      </w:r>
      <w:r>
        <w:rPr>
          <w:spacing w:val="-6"/>
        </w:rPr>
        <w:t> </w:t>
      </w:r>
      <w:r>
        <w:rPr/>
        <w:t>de</w:t>
      </w:r>
      <w:r>
        <w:rPr>
          <w:spacing w:val="-6"/>
        </w:rPr>
        <w:t> </w:t>
      </w:r>
      <w:r>
        <w:rPr/>
        <w:t>pratos</w:t>
      </w:r>
      <w:r>
        <w:rPr>
          <w:spacing w:val="-6"/>
        </w:rPr>
        <w:t> </w:t>
      </w:r>
      <w:r>
        <w:rPr/>
        <w:t>e</w:t>
      </w:r>
      <w:r>
        <w:rPr>
          <w:spacing w:val="-5"/>
        </w:rPr>
        <w:t> </w:t>
      </w:r>
      <w:r>
        <w:rPr/>
        <w:t>talheres,</w:t>
      </w:r>
      <w:r>
        <w:rPr>
          <w:spacing w:val="-5"/>
        </w:rPr>
        <w:t> </w:t>
      </w:r>
      <w:r>
        <w:rPr/>
        <w:t>e</w:t>
      </w:r>
      <w:r>
        <w:rPr>
          <w:spacing w:val="-6"/>
        </w:rPr>
        <w:t> </w:t>
      </w:r>
      <w:r>
        <w:rPr/>
        <w:t>não</w:t>
      </w:r>
      <w:r>
        <w:rPr>
          <w:spacing w:val="-5"/>
        </w:rPr>
        <w:t> </w:t>
      </w:r>
      <w:r>
        <w:rPr/>
        <w:t>em</w:t>
      </w:r>
      <w:r>
        <w:rPr>
          <w:spacing w:val="-1"/>
        </w:rPr>
        <w:t> </w:t>
      </w:r>
      <w:r>
        <w:rPr/>
        <w:t>condições</w:t>
      </w:r>
      <w:r>
        <w:rPr>
          <w:spacing w:val="-5"/>
        </w:rPr>
        <w:t> </w:t>
      </w:r>
      <w:r>
        <w:rPr/>
        <w:t>precárias na rua. Por fim, Beatriz Clemente reforçou o convite para que membros do comitê realizem visitas ao espaço, com o objetivo de verificar in loco as condições de atendimento, e afirmou que o “Chá do Padre” é reconhecido como referência na região pela qualidade dos serviços </w:t>
      </w:r>
      <w:r>
        <w:rPr>
          <w:spacing w:val="-2"/>
        </w:rPr>
        <w:t>prestados.</w:t>
      </w:r>
    </w:p>
    <w:p>
      <w:pPr>
        <w:pStyle w:val="BodyText"/>
        <w:spacing w:before="242"/>
        <w:ind w:right="136"/>
        <w:jc w:val="both"/>
      </w:pPr>
      <w:r>
        <w:rPr/>
        <w:t>Gisele Abreu retomou sua fala solicitando a conclusão de seu posicionamento e esclareceu</w:t>
      </w:r>
      <w:r>
        <w:rPr>
          <w:spacing w:val="40"/>
        </w:rPr>
        <w:t> </w:t>
      </w:r>
      <w:r>
        <w:rPr/>
        <w:t>que, ao mencionar o fechamento de equipamentos, não se referia ao encerramento indiscriminado de serviços, mas sim à necessidade de intervenção em casos em que não há garantia de dignidade no atendimento. Segundo ela, quando um equipamento funciona adequadamente,</w:t>
      </w:r>
      <w:r>
        <w:rPr>
          <w:spacing w:val="40"/>
        </w:rPr>
        <w:t> </w:t>
      </w:r>
      <w:r>
        <w:rPr/>
        <w:t>não</w:t>
      </w:r>
      <w:r>
        <w:rPr>
          <w:spacing w:val="40"/>
        </w:rPr>
        <w:t> </w:t>
      </w:r>
      <w:r>
        <w:rPr/>
        <w:t>há</w:t>
      </w:r>
      <w:r>
        <w:rPr>
          <w:spacing w:val="40"/>
        </w:rPr>
        <w:t> </w:t>
      </w:r>
      <w:r>
        <w:rPr/>
        <w:t>motivo</w:t>
      </w:r>
      <w:r>
        <w:rPr>
          <w:spacing w:val="40"/>
        </w:rPr>
        <w:t> </w:t>
      </w:r>
      <w:r>
        <w:rPr/>
        <w:t>para</w:t>
      </w:r>
      <w:r>
        <w:rPr>
          <w:spacing w:val="40"/>
        </w:rPr>
        <w:t> </w:t>
      </w:r>
      <w:r>
        <w:rPr/>
        <w:t>seu</w:t>
      </w:r>
      <w:r>
        <w:rPr>
          <w:spacing w:val="40"/>
        </w:rPr>
        <w:t> </w:t>
      </w:r>
      <w:r>
        <w:rPr/>
        <w:t>fechamento;</w:t>
      </w:r>
      <w:r>
        <w:rPr>
          <w:spacing w:val="40"/>
        </w:rPr>
        <w:t> </w:t>
      </w:r>
      <w:r>
        <w:rPr/>
        <w:t>porém,</w:t>
      </w:r>
      <w:r>
        <w:rPr>
          <w:spacing w:val="40"/>
        </w:rPr>
        <w:t> </w:t>
      </w:r>
      <w:r>
        <w:rPr/>
        <w:t>quando</w:t>
      </w:r>
      <w:r>
        <w:rPr>
          <w:spacing w:val="40"/>
        </w:rPr>
        <w:t> </w:t>
      </w:r>
      <w:r>
        <w:rPr/>
        <w:t>há</w:t>
      </w:r>
      <w:r>
        <w:rPr>
          <w:spacing w:val="40"/>
        </w:rPr>
        <w:t> </w:t>
      </w:r>
      <w:r>
        <w:rPr/>
        <w:t>recorrência</w:t>
      </w:r>
      <w:r>
        <w:rPr>
          <w:spacing w:val="40"/>
        </w:rPr>
        <w:t> </w:t>
      </w:r>
      <w:r>
        <w:rPr/>
        <w:t>de</w:t>
      </w:r>
    </w:p>
    <w:p>
      <w:pPr>
        <w:pStyle w:val="BodyText"/>
        <w:spacing w:after="0"/>
        <w:jc w:val="both"/>
        <w:sectPr>
          <w:pgSz w:w="11910" w:h="16840"/>
          <w:pgMar w:header="0" w:footer="1178" w:top="1360" w:bottom="1360" w:left="1559" w:right="1559"/>
        </w:sectPr>
      </w:pPr>
    </w:p>
    <w:p>
      <w:pPr>
        <w:pStyle w:val="BodyText"/>
        <w:spacing w:before="44"/>
        <w:ind w:right="135"/>
        <w:jc w:val="both"/>
      </w:pPr>
      <w:r>
        <w:rPr/>
        <w:t>denúncias e comprovação de irregularidades, medidas precisam ser tomadas. Ela citou como exemplo um equipamento anteriormente vinculado à Rede de Cidadania, o qual, segundo relatou, foi alvo de diversas notificações — não apenas uma ou duas, mas várias — acompanhadas de registros em vídeo, fotos e denúncias feitas pelos próprios usuários durante reuniões do comitê. Entre as irregularidades apontadas, mencionou a exigência indevida de documentos, como RG, para acesso à alimentação, além de relatos sobre distribuição de marmitas em condições inadequadas, consumidas na calçada, sem acesso a estrutura digna. A conselheira também destacou contradições nas informações prestadas pelos responsáveis pelos serviços, ora mencionando atendimento com refeições em pratos, ora em marmitas, o que, segundo ela, não corresponde às evidências apresentadas nos registros recebidos. Reforçou ainda denúncias sobre</w:t>
      </w:r>
      <w:r>
        <w:rPr>
          <w:spacing w:val="-1"/>
        </w:rPr>
        <w:t> </w:t>
      </w:r>
      <w:r>
        <w:rPr/>
        <w:t>precariedade nas</w:t>
      </w:r>
      <w:r>
        <w:rPr>
          <w:spacing w:val="-1"/>
        </w:rPr>
        <w:t> </w:t>
      </w:r>
      <w:r>
        <w:rPr/>
        <w:t>condições</w:t>
      </w:r>
      <w:r>
        <w:rPr>
          <w:spacing w:val="-1"/>
        </w:rPr>
        <w:t> </w:t>
      </w:r>
      <w:r>
        <w:rPr/>
        <w:t>de higiene, como restrição ao uso de banheiros, ausência de acesso a banho e fornecimento insuficiente de itens básicos, como papel higiênico. Durante sua fala, houve intervenções para organização da reunião. Josoé esclareceu que a manifestação já havia sido registrada, que o espaço não se tratava de um debate naquele momento e que as denúncias seriam apuradas posteriormente, sendo necessário dar continuidade à pauta. Gisele contestou</w:t>
      </w:r>
      <w:r>
        <w:rPr>
          <w:spacing w:val="-2"/>
        </w:rPr>
        <w:t> </w:t>
      </w:r>
      <w:r>
        <w:rPr/>
        <w:t>as interrupções, afirmando seu direito à fala enquanto representante que encaminha demandas da população, reforçando que sua atuação se baseia em denúncias recebidas e evidências documentadas. Também questionou a condução da reunião e a postura de alguns participantes, defendendo a importância do respeito à sua manifestação.</w:t>
      </w:r>
    </w:p>
    <w:p>
      <w:pPr>
        <w:pStyle w:val="BodyText"/>
        <w:spacing w:before="241"/>
        <w:ind w:right="137"/>
        <w:jc w:val="both"/>
      </w:pPr>
      <w:r>
        <w:rPr/>
        <w:t>Josoé reiterou que a demanda havia sido devidamente ouvida e registrada, e que o objetivo</w:t>
      </w:r>
      <w:r>
        <w:rPr>
          <w:spacing w:val="40"/>
        </w:rPr>
        <w:t> </w:t>
      </w:r>
      <w:r>
        <w:rPr/>
        <w:t>era garantir o andamento da reunião de forma organizada. Destacou que todas as denúncias seriam</w:t>
      </w:r>
      <w:r>
        <w:rPr>
          <w:spacing w:val="-4"/>
        </w:rPr>
        <w:t> </w:t>
      </w:r>
      <w:r>
        <w:rPr/>
        <w:t>analisadas</w:t>
      </w:r>
      <w:r>
        <w:rPr>
          <w:spacing w:val="-7"/>
        </w:rPr>
        <w:t> </w:t>
      </w:r>
      <w:r>
        <w:rPr/>
        <w:t>e</w:t>
      </w:r>
      <w:r>
        <w:rPr>
          <w:spacing w:val="-4"/>
        </w:rPr>
        <w:t> </w:t>
      </w:r>
      <w:r>
        <w:rPr/>
        <w:t>encaminhadas</w:t>
      </w:r>
      <w:r>
        <w:rPr>
          <w:spacing w:val="-3"/>
        </w:rPr>
        <w:t> </w:t>
      </w:r>
      <w:r>
        <w:rPr/>
        <w:t>conforme</w:t>
      </w:r>
      <w:r>
        <w:rPr>
          <w:spacing w:val="-6"/>
        </w:rPr>
        <w:t> </w:t>
      </w:r>
      <w:r>
        <w:rPr/>
        <w:t>os</w:t>
      </w:r>
      <w:r>
        <w:rPr>
          <w:spacing w:val="-4"/>
        </w:rPr>
        <w:t> </w:t>
      </w:r>
      <w:r>
        <w:rPr/>
        <w:t>procedimentos</w:t>
      </w:r>
      <w:r>
        <w:rPr>
          <w:spacing w:val="-3"/>
        </w:rPr>
        <w:t> </w:t>
      </w:r>
      <w:r>
        <w:rPr/>
        <w:t>do</w:t>
      </w:r>
      <w:r>
        <w:rPr>
          <w:spacing w:val="-4"/>
        </w:rPr>
        <w:t> </w:t>
      </w:r>
      <w:r>
        <w:rPr/>
        <w:t>comitê.</w:t>
      </w:r>
      <w:r>
        <w:rPr>
          <w:spacing w:val="-3"/>
        </w:rPr>
        <w:t> </w:t>
      </w:r>
      <w:r>
        <w:rPr/>
        <w:t>Na</w:t>
      </w:r>
      <w:r>
        <w:rPr>
          <w:spacing w:val="-4"/>
        </w:rPr>
        <w:t> </w:t>
      </w:r>
      <w:r>
        <w:rPr/>
        <w:t>sequência,</w:t>
      </w:r>
      <w:r>
        <w:rPr>
          <w:spacing w:val="-3"/>
        </w:rPr>
        <w:t> </w:t>
      </w:r>
      <w:r>
        <w:rPr/>
        <w:t>Josoé retomou a condução dos trabalhos, explicando a dinâmica da reunião, que inclui a leitura de relatórios</w:t>
      </w:r>
      <w:r>
        <w:rPr>
          <w:spacing w:val="-5"/>
        </w:rPr>
        <w:t> </w:t>
      </w:r>
      <w:r>
        <w:rPr/>
        <w:t>das</w:t>
      </w:r>
      <w:r>
        <w:rPr>
          <w:spacing w:val="-5"/>
        </w:rPr>
        <w:t> </w:t>
      </w:r>
      <w:r>
        <w:rPr/>
        <w:t>ações</w:t>
      </w:r>
      <w:r>
        <w:rPr>
          <w:spacing w:val="-4"/>
        </w:rPr>
        <w:t> </w:t>
      </w:r>
      <w:r>
        <w:rPr/>
        <w:t>de</w:t>
      </w:r>
      <w:r>
        <w:rPr>
          <w:spacing w:val="-5"/>
        </w:rPr>
        <w:t> </w:t>
      </w:r>
      <w:r>
        <w:rPr/>
        <w:t>zeladoria</w:t>
      </w:r>
      <w:r>
        <w:rPr>
          <w:spacing w:val="-4"/>
        </w:rPr>
        <w:t> </w:t>
      </w:r>
      <w:r>
        <w:rPr/>
        <w:t>urbana,</w:t>
      </w:r>
      <w:r>
        <w:rPr>
          <w:spacing w:val="-5"/>
        </w:rPr>
        <w:t> </w:t>
      </w:r>
      <w:r>
        <w:rPr/>
        <w:t>avaliação</w:t>
      </w:r>
      <w:r>
        <w:rPr>
          <w:spacing w:val="-5"/>
        </w:rPr>
        <w:t> </w:t>
      </w:r>
      <w:r>
        <w:rPr/>
        <w:t>das</w:t>
      </w:r>
      <w:r>
        <w:rPr>
          <w:spacing w:val="-8"/>
        </w:rPr>
        <w:t> </w:t>
      </w:r>
      <w:r>
        <w:rPr/>
        <w:t>práticas</w:t>
      </w:r>
      <w:r>
        <w:rPr>
          <w:spacing w:val="-5"/>
        </w:rPr>
        <w:t> </w:t>
      </w:r>
      <w:r>
        <w:rPr/>
        <w:t>adotadas</w:t>
      </w:r>
      <w:r>
        <w:rPr>
          <w:spacing w:val="-5"/>
        </w:rPr>
        <w:t> </w:t>
      </w:r>
      <w:r>
        <w:rPr/>
        <w:t>e</w:t>
      </w:r>
      <w:r>
        <w:rPr>
          <w:spacing w:val="-5"/>
        </w:rPr>
        <w:t> </w:t>
      </w:r>
      <w:r>
        <w:rPr/>
        <w:t>abertura</w:t>
      </w:r>
      <w:r>
        <w:rPr>
          <w:spacing w:val="-5"/>
        </w:rPr>
        <w:t> </w:t>
      </w:r>
      <w:r>
        <w:rPr/>
        <w:t>para</w:t>
      </w:r>
      <w:r>
        <w:rPr>
          <w:spacing w:val="-5"/>
        </w:rPr>
        <w:t> </w:t>
      </w:r>
      <w:r>
        <w:rPr/>
        <w:t>novas demandas.</w:t>
      </w:r>
      <w:r>
        <w:rPr>
          <w:spacing w:val="-5"/>
        </w:rPr>
        <w:t> </w:t>
      </w:r>
      <w:r>
        <w:rPr/>
        <w:t>Ressaltou</w:t>
      </w:r>
      <w:r>
        <w:rPr>
          <w:spacing w:val="-6"/>
        </w:rPr>
        <w:t> </w:t>
      </w:r>
      <w:r>
        <w:rPr/>
        <w:t>que</w:t>
      </w:r>
      <w:r>
        <w:rPr>
          <w:spacing w:val="-5"/>
        </w:rPr>
        <w:t> </w:t>
      </w:r>
      <w:r>
        <w:rPr/>
        <w:t>as</w:t>
      </w:r>
      <w:r>
        <w:rPr>
          <w:spacing w:val="-5"/>
        </w:rPr>
        <w:t> </w:t>
      </w:r>
      <w:r>
        <w:rPr/>
        <w:t>reuniões</w:t>
      </w:r>
      <w:r>
        <w:rPr>
          <w:spacing w:val="-5"/>
        </w:rPr>
        <w:t> </w:t>
      </w:r>
      <w:r>
        <w:rPr/>
        <w:t>são</w:t>
      </w:r>
      <w:r>
        <w:rPr>
          <w:spacing w:val="-5"/>
        </w:rPr>
        <w:t> </w:t>
      </w:r>
      <w:r>
        <w:rPr/>
        <w:t>gravadas,</w:t>
      </w:r>
      <w:r>
        <w:rPr>
          <w:spacing w:val="-5"/>
        </w:rPr>
        <w:t> </w:t>
      </w:r>
      <w:r>
        <w:rPr/>
        <w:t>que</w:t>
      </w:r>
      <w:r>
        <w:rPr>
          <w:spacing w:val="-5"/>
        </w:rPr>
        <w:t> </w:t>
      </w:r>
      <w:r>
        <w:rPr/>
        <w:t>os</w:t>
      </w:r>
      <w:r>
        <w:rPr>
          <w:spacing w:val="-7"/>
        </w:rPr>
        <w:t> </w:t>
      </w:r>
      <w:r>
        <w:rPr/>
        <w:t>encaminhamentos</w:t>
      </w:r>
      <w:r>
        <w:rPr>
          <w:spacing w:val="-5"/>
        </w:rPr>
        <w:t> </w:t>
      </w:r>
      <w:r>
        <w:rPr/>
        <w:t>são</w:t>
      </w:r>
      <w:r>
        <w:rPr>
          <w:spacing w:val="-7"/>
        </w:rPr>
        <w:t> </w:t>
      </w:r>
      <w:r>
        <w:rPr/>
        <w:t>formalizados e que todos os participantes têm direito à fala, desde que respeitado um tempo adequado</w:t>
      </w:r>
      <w:r>
        <w:rPr>
          <w:spacing w:val="40"/>
        </w:rPr>
        <w:t> </w:t>
      </w:r>
      <w:r>
        <w:rPr/>
        <w:t>para garantir a participação coletiva. Posteriormente, foi concedida a palavra à participante seguinte, que buscou esclarecimentos sobre a dinâmica do encontro e a forma de encaminhar novas demandas relacionadas à zeladoria urbana.</w:t>
      </w:r>
    </w:p>
    <w:p>
      <w:pPr>
        <w:pStyle w:val="BodyText"/>
        <w:spacing w:before="240"/>
        <w:ind w:right="139"/>
        <w:jc w:val="both"/>
      </w:pPr>
      <w:r>
        <w:rPr/>
        <w:t>A participante Luciana Stein relatou uma situação recorrente envolvendo a apreensão de carroças utilizadas como instrumento de</w:t>
      </w:r>
      <w:r>
        <w:rPr>
          <w:spacing w:val="-1"/>
        </w:rPr>
        <w:t> </w:t>
      </w:r>
      <w:r>
        <w:rPr/>
        <w:t>trabalho por</w:t>
      </w:r>
      <w:r>
        <w:rPr>
          <w:spacing w:val="-2"/>
        </w:rPr>
        <w:t> </w:t>
      </w:r>
      <w:r>
        <w:rPr/>
        <w:t>pessoas</w:t>
      </w:r>
      <w:r>
        <w:rPr>
          <w:spacing w:val="-2"/>
        </w:rPr>
        <w:t> </w:t>
      </w:r>
      <w:r>
        <w:rPr/>
        <w:t>em situação de</w:t>
      </w:r>
      <w:r>
        <w:rPr>
          <w:spacing w:val="-1"/>
        </w:rPr>
        <w:t> </w:t>
      </w:r>
      <w:r>
        <w:rPr/>
        <w:t>rua na região do Minhocão.</w:t>
      </w:r>
      <w:r>
        <w:rPr>
          <w:spacing w:val="-1"/>
        </w:rPr>
        <w:t> </w:t>
      </w:r>
      <w:r>
        <w:rPr/>
        <w:t>Explicou</w:t>
      </w:r>
      <w:r>
        <w:rPr>
          <w:spacing w:val="-1"/>
        </w:rPr>
        <w:t> </w:t>
      </w:r>
      <w:r>
        <w:rPr/>
        <w:t>que acompanha</w:t>
      </w:r>
      <w:r>
        <w:rPr>
          <w:spacing w:val="-3"/>
        </w:rPr>
        <w:t> </w:t>
      </w:r>
      <w:r>
        <w:rPr/>
        <w:t>o território por</w:t>
      </w:r>
      <w:r>
        <w:rPr>
          <w:spacing w:val="-3"/>
        </w:rPr>
        <w:t> </w:t>
      </w:r>
      <w:r>
        <w:rPr/>
        <w:t>meio de pesquisa</w:t>
      </w:r>
      <w:r>
        <w:rPr>
          <w:spacing w:val="-3"/>
        </w:rPr>
        <w:t> </w:t>
      </w:r>
      <w:r>
        <w:rPr/>
        <w:t>em antropologia</w:t>
      </w:r>
      <w:r>
        <w:rPr>
          <w:spacing w:val="-1"/>
        </w:rPr>
        <w:t> </w:t>
      </w:r>
      <w:r>
        <w:rPr/>
        <w:t>social</w:t>
      </w:r>
      <w:r>
        <w:rPr>
          <w:spacing w:val="-4"/>
        </w:rPr>
        <w:t> </w:t>
      </w:r>
      <w:r>
        <w:rPr/>
        <w:t>e que presenciou recentemente a retirada de uma carroça pertencente a uma pessoa próxima, destacando que foi entregue um lacre, o que permite tentar recuperar o bem. No entanto, questionou a efetividade desse procedimento, uma vez que, segundo ela, o ciclo de apreensão e</w:t>
      </w:r>
      <w:r>
        <w:rPr>
          <w:spacing w:val="-10"/>
        </w:rPr>
        <w:t> </w:t>
      </w:r>
      <w:r>
        <w:rPr/>
        <w:t>tentativa</w:t>
      </w:r>
      <w:r>
        <w:rPr>
          <w:spacing w:val="-10"/>
        </w:rPr>
        <w:t> </w:t>
      </w:r>
      <w:r>
        <w:rPr/>
        <w:t>de</w:t>
      </w:r>
      <w:r>
        <w:rPr>
          <w:spacing w:val="-12"/>
        </w:rPr>
        <w:t> </w:t>
      </w:r>
      <w:r>
        <w:rPr/>
        <w:t>recuperação</w:t>
      </w:r>
      <w:r>
        <w:rPr>
          <w:spacing w:val="-11"/>
        </w:rPr>
        <w:t> </w:t>
      </w:r>
      <w:r>
        <w:rPr/>
        <w:t>se</w:t>
      </w:r>
      <w:r>
        <w:rPr>
          <w:spacing w:val="-9"/>
        </w:rPr>
        <w:t> </w:t>
      </w:r>
      <w:r>
        <w:rPr/>
        <w:t>repete</w:t>
      </w:r>
      <w:r>
        <w:rPr>
          <w:spacing w:val="-10"/>
        </w:rPr>
        <w:t> </w:t>
      </w:r>
      <w:r>
        <w:rPr/>
        <w:t>constantemente.</w:t>
      </w:r>
      <w:r>
        <w:rPr>
          <w:spacing w:val="-12"/>
        </w:rPr>
        <w:t> </w:t>
      </w:r>
      <w:r>
        <w:rPr/>
        <w:t>Também</w:t>
      </w:r>
      <w:r>
        <w:rPr>
          <w:spacing w:val="-9"/>
        </w:rPr>
        <w:t> </w:t>
      </w:r>
      <w:r>
        <w:rPr/>
        <w:t>solicitou</w:t>
      </w:r>
      <w:r>
        <w:rPr>
          <w:spacing w:val="-11"/>
        </w:rPr>
        <w:t> </w:t>
      </w:r>
      <w:r>
        <w:rPr/>
        <w:t>esclarecimentos</w:t>
      </w:r>
      <w:r>
        <w:rPr>
          <w:spacing w:val="-10"/>
        </w:rPr>
        <w:t> </w:t>
      </w:r>
      <w:r>
        <w:rPr/>
        <w:t>sobre os critérios adotados pela zeladoria urbana para essas apreensões.</w:t>
      </w:r>
    </w:p>
    <w:p>
      <w:pPr>
        <w:pStyle w:val="BodyText"/>
        <w:spacing w:before="241"/>
        <w:ind w:right="137"/>
        <w:jc w:val="both"/>
      </w:pPr>
      <w:r>
        <w:rPr/>
        <w:t>Em resposta, Josoé orientou que, em casos individuais, o encaminhamento deve ser feito por meio da ouvidoria, seja pelo portal 156, pelo site oficial ou presencialmente na secretaria, explicando que esse canal permite a apuração e acompanhamento da demanda. Informou ainda que nem sempre há representantes da zeladoria presentes para fins imediatos, mas que a questão seria registrada para análise posterior e possível devolutiva em reunião futura.</w:t>
      </w:r>
    </w:p>
    <w:p>
      <w:pPr>
        <w:pStyle w:val="BodyText"/>
        <w:spacing w:before="241"/>
        <w:ind w:right="137"/>
        <w:jc w:val="both"/>
      </w:pPr>
      <w:r>
        <w:rPr/>
        <w:t>Mary Luciana (SMADS) contribuiu com uma explicação técnica, destacando que a atuação da zeladoria</w:t>
      </w:r>
      <w:r>
        <w:rPr>
          <w:spacing w:val="-1"/>
        </w:rPr>
        <w:t> </w:t>
      </w:r>
      <w:r>
        <w:rPr/>
        <w:t>deveria ocorrer com base em cronogramas</w:t>
      </w:r>
      <w:r>
        <w:rPr>
          <w:spacing w:val="-1"/>
        </w:rPr>
        <w:t> </w:t>
      </w:r>
      <w:r>
        <w:rPr/>
        <w:t>previamente informados, permitindo que equipes de abordagem social orientem os usuários e minimizem impactos. Ressaltou, porém, que nem sempre</w:t>
      </w:r>
      <w:r>
        <w:rPr>
          <w:spacing w:val="-2"/>
        </w:rPr>
        <w:t> </w:t>
      </w:r>
      <w:r>
        <w:rPr/>
        <w:t>esses cronogramas são comunicados, o que gera ações inesperadas, conflitos e</w:t>
      </w:r>
      <w:r>
        <w:rPr>
          <w:spacing w:val="49"/>
        </w:rPr>
        <w:t> </w:t>
      </w:r>
      <w:r>
        <w:rPr/>
        <w:t>possíveis</w:t>
      </w:r>
      <w:r>
        <w:rPr>
          <w:spacing w:val="49"/>
        </w:rPr>
        <w:t> </w:t>
      </w:r>
      <w:r>
        <w:rPr/>
        <w:t>violações</w:t>
      </w:r>
      <w:r>
        <w:rPr>
          <w:spacing w:val="49"/>
        </w:rPr>
        <w:t> </w:t>
      </w:r>
      <w:r>
        <w:rPr/>
        <w:t>de</w:t>
      </w:r>
      <w:r>
        <w:rPr>
          <w:spacing w:val="48"/>
        </w:rPr>
        <w:t> </w:t>
      </w:r>
      <w:r>
        <w:rPr/>
        <w:t>direitos,</w:t>
      </w:r>
      <w:r>
        <w:rPr>
          <w:spacing w:val="51"/>
        </w:rPr>
        <w:t> </w:t>
      </w:r>
      <w:r>
        <w:rPr/>
        <w:t>incluindo</w:t>
      </w:r>
      <w:r>
        <w:rPr>
          <w:spacing w:val="50"/>
        </w:rPr>
        <w:t> </w:t>
      </w:r>
      <w:r>
        <w:rPr/>
        <w:t>a</w:t>
      </w:r>
      <w:r>
        <w:rPr>
          <w:spacing w:val="51"/>
        </w:rPr>
        <w:t> </w:t>
      </w:r>
      <w:r>
        <w:rPr/>
        <w:t>retirada</w:t>
      </w:r>
      <w:r>
        <w:rPr>
          <w:spacing w:val="50"/>
        </w:rPr>
        <w:t> </w:t>
      </w:r>
      <w:r>
        <w:rPr/>
        <w:t>de</w:t>
      </w:r>
      <w:r>
        <w:rPr>
          <w:spacing w:val="52"/>
        </w:rPr>
        <w:t> </w:t>
      </w:r>
      <w:r>
        <w:rPr/>
        <w:t>pertences.</w:t>
      </w:r>
      <w:r>
        <w:rPr>
          <w:spacing w:val="56"/>
        </w:rPr>
        <w:t> </w:t>
      </w:r>
      <w:r>
        <w:rPr/>
        <w:t>Também</w:t>
      </w:r>
      <w:r>
        <w:rPr>
          <w:spacing w:val="50"/>
        </w:rPr>
        <w:t> </w:t>
      </w:r>
      <w:r>
        <w:rPr/>
        <w:t>enfatizou</w:t>
      </w:r>
      <w:r>
        <w:rPr>
          <w:spacing w:val="48"/>
        </w:rPr>
        <w:t> </w:t>
      </w:r>
      <w:r>
        <w:rPr>
          <w:spacing w:val="-10"/>
        </w:rPr>
        <w:t>a</w:t>
      </w:r>
    </w:p>
    <w:p>
      <w:pPr>
        <w:pStyle w:val="BodyText"/>
        <w:spacing w:after="0"/>
        <w:jc w:val="both"/>
        <w:sectPr>
          <w:pgSz w:w="11910" w:h="16840"/>
          <w:pgMar w:header="0" w:footer="1178" w:top="1360" w:bottom="1360" w:left="1559" w:right="1559"/>
        </w:sectPr>
      </w:pPr>
    </w:p>
    <w:p>
      <w:pPr>
        <w:pStyle w:val="BodyText"/>
        <w:spacing w:before="44"/>
        <w:ind w:right="145"/>
        <w:jc w:val="both"/>
      </w:pPr>
      <w:r>
        <w:rPr/>
        <w:t>importância de uma atuação intersetorial e do respeito à autonomia das pessoas em situação de rua.</w:t>
      </w:r>
    </w:p>
    <w:p>
      <w:pPr>
        <w:pStyle w:val="BodyText"/>
        <w:spacing w:before="241"/>
        <w:ind w:right="138"/>
        <w:jc w:val="both"/>
      </w:pPr>
      <w:r>
        <w:rPr/>
        <w:t>A participante Roseli Kraemer acrescentou que, além da apreensão, há cobrança de multas elevadas para recuperação das carroças, o que inviabiliza a restituição para muitos trabalhadores. Criticou ainda a atuação da zeladoria, relatando retirada de pertences e permanência apenas de resíduos nos locais, além de questionar políticas públicas relacionadas à população em situação de rua.</w:t>
      </w:r>
    </w:p>
    <w:p>
      <w:pPr>
        <w:pStyle w:val="BodyText"/>
        <w:spacing w:before="239"/>
        <w:ind w:right="140"/>
        <w:jc w:val="both"/>
      </w:pPr>
      <w:r>
        <w:rPr/>
        <w:t>Beatriz Clemente reforçou as denúncias, afirmando que há registros e documentos que comprovam</w:t>
      </w:r>
      <w:r>
        <w:rPr>
          <w:spacing w:val="-3"/>
        </w:rPr>
        <w:t> </w:t>
      </w:r>
      <w:r>
        <w:rPr/>
        <w:t>a</w:t>
      </w:r>
      <w:r>
        <w:rPr>
          <w:spacing w:val="-4"/>
        </w:rPr>
        <w:t> </w:t>
      </w:r>
      <w:r>
        <w:rPr/>
        <w:t>retirada</w:t>
      </w:r>
      <w:r>
        <w:rPr>
          <w:spacing w:val="-4"/>
        </w:rPr>
        <w:t> </w:t>
      </w:r>
      <w:r>
        <w:rPr/>
        <w:t>de</w:t>
      </w:r>
      <w:r>
        <w:rPr>
          <w:spacing w:val="-3"/>
        </w:rPr>
        <w:t> </w:t>
      </w:r>
      <w:r>
        <w:rPr/>
        <w:t>pertences,</w:t>
      </w:r>
      <w:r>
        <w:rPr>
          <w:spacing w:val="-5"/>
        </w:rPr>
        <w:t> </w:t>
      </w:r>
      <w:r>
        <w:rPr/>
        <w:t>o</w:t>
      </w:r>
      <w:r>
        <w:rPr>
          <w:spacing w:val="-3"/>
        </w:rPr>
        <w:t> </w:t>
      </w:r>
      <w:r>
        <w:rPr/>
        <w:t>que</w:t>
      </w:r>
      <w:r>
        <w:rPr>
          <w:spacing w:val="-3"/>
        </w:rPr>
        <w:t> </w:t>
      </w:r>
      <w:r>
        <w:rPr/>
        <w:t>impacta</w:t>
      </w:r>
      <w:r>
        <w:rPr>
          <w:spacing w:val="-4"/>
        </w:rPr>
        <w:t> </w:t>
      </w:r>
      <w:r>
        <w:rPr/>
        <w:t>negativamente</w:t>
      </w:r>
      <w:r>
        <w:rPr>
          <w:spacing w:val="-6"/>
        </w:rPr>
        <w:t> </w:t>
      </w:r>
      <w:r>
        <w:rPr/>
        <w:t>tanto</w:t>
      </w:r>
      <w:r>
        <w:rPr>
          <w:spacing w:val="-5"/>
        </w:rPr>
        <w:t> </w:t>
      </w:r>
      <w:r>
        <w:rPr/>
        <w:t>os</w:t>
      </w:r>
      <w:r>
        <w:rPr>
          <w:spacing w:val="-4"/>
        </w:rPr>
        <w:t> </w:t>
      </w:r>
      <w:r>
        <w:rPr/>
        <w:t>usuários</w:t>
      </w:r>
      <w:r>
        <w:rPr>
          <w:spacing w:val="-4"/>
        </w:rPr>
        <w:t> </w:t>
      </w:r>
      <w:r>
        <w:rPr/>
        <w:t>quanto</w:t>
      </w:r>
      <w:r>
        <w:rPr>
          <w:spacing w:val="-5"/>
        </w:rPr>
        <w:t> </w:t>
      </w:r>
      <w:r>
        <w:rPr/>
        <w:t>os serviços públicos, ao gerar aumento de demandas para emissão de documentos e assistência.</w:t>
      </w:r>
    </w:p>
    <w:p>
      <w:pPr>
        <w:pStyle w:val="BodyText"/>
        <w:spacing w:before="241"/>
        <w:ind w:right="141"/>
        <w:jc w:val="both"/>
      </w:pPr>
      <w:r>
        <w:rPr/>
        <w:t>Gisele Abreu, por sua vez, reiterou a necessidade de apresentação de provas materiais para fundamentar as denúncias e defendeu que os relatos sejam formalizados com evidências, como vídeos e registros, para possibilitar apuração efetiva.</w:t>
      </w:r>
    </w:p>
    <w:p>
      <w:pPr>
        <w:pStyle w:val="BodyText"/>
        <w:spacing w:before="241"/>
        <w:ind w:right="142"/>
        <w:jc w:val="both"/>
      </w:pPr>
      <w:r>
        <w:rPr/>
        <w:t>Sheila Marcolino (Gaspar Garcia) destacou a importância de sistematizar as denúncias com informações concretas, como datas, locais e evidências, para que os órgãos competentes consigam</w:t>
      </w:r>
      <w:r>
        <w:rPr>
          <w:spacing w:val="-3"/>
        </w:rPr>
        <w:t> </w:t>
      </w:r>
      <w:r>
        <w:rPr/>
        <w:t>investigar</w:t>
      </w:r>
      <w:r>
        <w:rPr>
          <w:spacing w:val="-4"/>
        </w:rPr>
        <w:t> </w:t>
      </w:r>
      <w:r>
        <w:rPr/>
        <w:t>adequadamente</w:t>
      </w:r>
      <w:r>
        <w:rPr>
          <w:spacing w:val="-3"/>
        </w:rPr>
        <w:t> </w:t>
      </w:r>
      <w:r>
        <w:rPr/>
        <w:t>e</w:t>
      </w:r>
      <w:r>
        <w:rPr>
          <w:spacing w:val="-5"/>
        </w:rPr>
        <w:t> </w:t>
      </w:r>
      <w:r>
        <w:rPr/>
        <w:t>o</w:t>
      </w:r>
      <w:r>
        <w:rPr>
          <w:spacing w:val="-3"/>
        </w:rPr>
        <w:t> </w:t>
      </w:r>
      <w:r>
        <w:rPr/>
        <w:t>comitê</w:t>
      </w:r>
      <w:r>
        <w:rPr>
          <w:spacing w:val="-3"/>
        </w:rPr>
        <w:t> </w:t>
      </w:r>
      <w:r>
        <w:rPr/>
        <w:t>possa</w:t>
      </w:r>
      <w:r>
        <w:rPr>
          <w:spacing w:val="-4"/>
        </w:rPr>
        <w:t> </w:t>
      </w:r>
      <w:r>
        <w:rPr/>
        <w:t>encaminhar</w:t>
      </w:r>
      <w:r>
        <w:rPr>
          <w:spacing w:val="-4"/>
        </w:rPr>
        <w:t> </w:t>
      </w:r>
      <w:r>
        <w:rPr/>
        <w:t>as</w:t>
      </w:r>
      <w:r>
        <w:rPr>
          <w:spacing w:val="-4"/>
        </w:rPr>
        <w:t> </w:t>
      </w:r>
      <w:r>
        <w:rPr/>
        <w:t>demandas</w:t>
      </w:r>
      <w:r>
        <w:rPr>
          <w:spacing w:val="-5"/>
        </w:rPr>
        <w:t> </w:t>
      </w:r>
      <w:r>
        <w:rPr/>
        <w:t>de</w:t>
      </w:r>
      <w:r>
        <w:rPr>
          <w:spacing w:val="-3"/>
        </w:rPr>
        <w:t> </w:t>
      </w:r>
      <w:r>
        <w:rPr/>
        <w:t>forma</w:t>
      </w:r>
      <w:r>
        <w:rPr>
          <w:spacing w:val="-5"/>
        </w:rPr>
        <w:t> </w:t>
      </w:r>
      <w:r>
        <w:rPr/>
        <w:t>mais </w:t>
      </w:r>
      <w:r>
        <w:rPr>
          <w:spacing w:val="-2"/>
        </w:rPr>
        <w:t>eficaz.</w:t>
      </w:r>
    </w:p>
    <w:p>
      <w:pPr>
        <w:pStyle w:val="BodyText"/>
        <w:spacing w:before="238"/>
        <w:ind w:right="135"/>
        <w:jc w:val="both"/>
      </w:pPr>
      <w:r>
        <w:rPr/>
        <w:t>Na</w:t>
      </w:r>
      <w:r>
        <w:rPr>
          <w:spacing w:val="-3"/>
        </w:rPr>
        <w:t> </w:t>
      </w:r>
      <w:r>
        <w:rPr/>
        <w:t>sequência,</w:t>
      </w:r>
      <w:r>
        <w:rPr>
          <w:spacing w:val="-3"/>
        </w:rPr>
        <w:t> </w:t>
      </w:r>
      <w:r>
        <w:rPr/>
        <w:t>Josoé</w:t>
      </w:r>
      <w:r>
        <w:rPr>
          <w:spacing w:val="-4"/>
        </w:rPr>
        <w:t> </w:t>
      </w:r>
      <w:r>
        <w:rPr/>
        <w:t>realizou</w:t>
      </w:r>
      <w:r>
        <w:rPr>
          <w:spacing w:val="-3"/>
        </w:rPr>
        <w:t> </w:t>
      </w:r>
      <w:r>
        <w:rPr/>
        <w:t>a</w:t>
      </w:r>
      <w:r>
        <w:rPr>
          <w:spacing w:val="-3"/>
        </w:rPr>
        <w:t> </w:t>
      </w:r>
      <w:r>
        <w:rPr/>
        <w:t>leitura</w:t>
      </w:r>
      <w:r>
        <w:rPr>
          <w:spacing w:val="-3"/>
        </w:rPr>
        <w:t> </w:t>
      </w:r>
      <w:r>
        <w:rPr/>
        <w:t>de</w:t>
      </w:r>
      <w:r>
        <w:rPr>
          <w:spacing w:val="-2"/>
        </w:rPr>
        <w:t> </w:t>
      </w:r>
      <w:r>
        <w:rPr/>
        <w:t>trechos</w:t>
      </w:r>
      <w:r>
        <w:rPr>
          <w:spacing w:val="-3"/>
        </w:rPr>
        <w:t> </w:t>
      </w:r>
      <w:r>
        <w:rPr/>
        <w:t>dos</w:t>
      </w:r>
      <w:r>
        <w:rPr>
          <w:spacing w:val="-3"/>
        </w:rPr>
        <w:t> </w:t>
      </w:r>
      <w:r>
        <w:rPr/>
        <w:t>relatórios</w:t>
      </w:r>
      <w:r>
        <w:rPr>
          <w:spacing w:val="-3"/>
        </w:rPr>
        <w:t> </w:t>
      </w:r>
      <w:r>
        <w:rPr/>
        <w:t>de</w:t>
      </w:r>
      <w:r>
        <w:rPr>
          <w:spacing w:val="-4"/>
        </w:rPr>
        <w:t> </w:t>
      </w:r>
      <w:r>
        <w:rPr/>
        <w:t>monitoramento</w:t>
      </w:r>
      <w:r>
        <w:rPr>
          <w:spacing w:val="-2"/>
        </w:rPr>
        <w:t> </w:t>
      </w:r>
      <w:r>
        <w:rPr/>
        <w:t>da</w:t>
      </w:r>
      <w:r>
        <w:rPr>
          <w:spacing w:val="-3"/>
        </w:rPr>
        <w:t> </w:t>
      </w:r>
      <w:r>
        <w:rPr/>
        <w:t>zeladoria urbana,</w:t>
      </w:r>
      <w:r>
        <w:rPr>
          <w:spacing w:val="-6"/>
        </w:rPr>
        <w:t> </w:t>
      </w:r>
      <w:r>
        <w:rPr/>
        <w:t>que</w:t>
      </w:r>
      <w:r>
        <w:rPr>
          <w:spacing w:val="-6"/>
        </w:rPr>
        <w:t> </w:t>
      </w:r>
      <w:r>
        <w:rPr/>
        <w:t>apontam</w:t>
      </w:r>
      <w:r>
        <w:rPr>
          <w:spacing w:val="-5"/>
        </w:rPr>
        <w:t> </w:t>
      </w:r>
      <w:r>
        <w:rPr/>
        <w:t>falhas</w:t>
      </w:r>
      <w:r>
        <w:rPr>
          <w:spacing w:val="-6"/>
        </w:rPr>
        <w:t> </w:t>
      </w:r>
      <w:r>
        <w:rPr/>
        <w:t>recorrentes</w:t>
      </w:r>
      <w:r>
        <w:rPr>
          <w:spacing w:val="-6"/>
        </w:rPr>
        <w:t> </w:t>
      </w:r>
      <w:r>
        <w:rPr/>
        <w:t>na</w:t>
      </w:r>
      <w:r>
        <w:rPr>
          <w:spacing w:val="-6"/>
        </w:rPr>
        <w:t> </w:t>
      </w:r>
      <w:r>
        <w:rPr/>
        <w:t>comunicação</w:t>
      </w:r>
      <w:r>
        <w:rPr>
          <w:spacing w:val="-6"/>
        </w:rPr>
        <w:t> </w:t>
      </w:r>
      <w:r>
        <w:rPr/>
        <w:t>prévia</w:t>
      </w:r>
      <w:r>
        <w:rPr>
          <w:spacing w:val="-6"/>
        </w:rPr>
        <w:t> </w:t>
      </w:r>
      <w:r>
        <w:rPr/>
        <w:t>das</w:t>
      </w:r>
      <w:r>
        <w:rPr>
          <w:spacing w:val="-6"/>
        </w:rPr>
        <w:t> </w:t>
      </w:r>
      <w:r>
        <w:rPr/>
        <w:t>ações,</w:t>
      </w:r>
      <w:r>
        <w:rPr>
          <w:spacing w:val="-6"/>
        </w:rPr>
        <w:t> </w:t>
      </w:r>
      <w:r>
        <w:rPr/>
        <w:t>retirada</w:t>
      </w:r>
      <w:r>
        <w:rPr>
          <w:spacing w:val="-6"/>
        </w:rPr>
        <w:t> </w:t>
      </w:r>
      <w:r>
        <w:rPr/>
        <w:t>indevida</w:t>
      </w:r>
      <w:r>
        <w:rPr>
          <w:spacing w:val="-6"/>
        </w:rPr>
        <w:t> </w:t>
      </w:r>
      <w:r>
        <w:rPr/>
        <w:t>de pertences, dificuldades na atuação das equipes sociais e impactos negativos no vínculo com a população atendida. Os documentos também indicam a necessidade de intensificação nos fluxos intersetoriais, maior planejamento e garantia dos direitos das pessoas em situação de </w:t>
      </w:r>
      <w:r>
        <w:rPr>
          <w:spacing w:val="-4"/>
        </w:rPr>
        <w:t>rua.</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70"/>
        <w:ind w:left="0"/>
        <w:rPr>
          <w:sz w:val="20"/>
        </w:rPr>
      </w:pPr>
    </w:p>
    <w:tbl>
      <w:tblPr>
        <w:tblW w:w="0" w:type="auto"/>
        <w:jc w:val="left"/>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02"/>
        <w:gridCol w:w="4426"/>
        <w:gridCol w:w="1663"/>
        <w:gridCol w:w="1869"/>
      </w:tblGrid>
      <w:tr>
        <w:trPr>
          <w:trHeight w:val="481" w:hRule="atLeast"/>
        </w:trPr>
        <w:tc>
          <w:tcPr>
            <w:tcW w:w="602" w:type="dxa"/>
            <w:shd w:val="clear" w:color="auto" w:fill="EEEEEE"/>
          </w:tcPr>
          <w:p>
            <w:pPr>
              <w:pStyle w:val="TableParagraph"/>
              <w:spacing w:before="0"/>
              <w:ind w:left="0"/>
              <w:jc w:val="left"/>
              <w:rPr>
                <w:rFonts w:ascii="Times New Roman"/>
                <w:sz w:val="22"/>
              </w:rPr>
            </w:pPr>
          </w:p>
        </w:tc>
        <w:tc>
          <w:tcPr>
            <w:tcW w:w="4426" w:type="dxa"/>
            <w:tcBorders>
              <w:bottom w:val="single" w:sz="12" w:space="0" w:color="000000"/>
            </w:tcBorders>
            <w:shd w:val="clear" w:color="auto" w:fill="EEEEEE"/>
          </w:tcPr>
          <w:p>
            <w:pPr>
              <w:pStyle w:val="TableParagraph"/>
              <w:spacing w:before="110"/>
              <w:ind w:left="29"/>
              <w:rPr>
                <w:rFonts w:ascii="Arial" w:hAnsi="Arial"/>
                <w:b/>
                <w:sz w:val="22"/>
              </w:rPr>
            </w:pPr>
            <w:r>
              <w:rPr>
                <w:rFonts w:ascii="Arial" w:hAnsi="Arial"/>
                <w:b/>
                <w:sz w:val="22"/>
              </w:rPr>
              <w:t>Descrição</w:t>
            </w:r>
            <w:r>
              <w:rPr>
                <w:rFonts w:ascii="Arial" w:hAnsi="Arial"/>
                <w:b/>
                <w:spacing w:val="-3"/>
                <w:sz w:val="22"/>
              </w:rPr>
              <w:t> </w:t>
            </w:r>
            <w:r>
              <w:rPr>
                <w:rFonts w:ascii="Arial" w:hAnsi="Arial"/>
                <w:b/>
                <w:sz w:val="22"/>
              </w:rPr>
              <w:t>dos</w:t>
            </w:r>
            <w:r>
              <w:rPr>
                <w:rFonts w:ascii="Arial" w:hAnsi="Arial"/>
                <w:b/>
                <w:spacing w:val="-4"/>
                <w:sz w:val="22"/>
              </w:rPr>
              <w:t> </w:t>
            </w:r>
            <w:r>
              <w:rPr>
                <w:rFonts w:ascii="Arial" w:hAnsi="Arial"/>
                <w:b/>
                <w:spacing w:val="-2"/>
                <w:sz w:val="22"/>
              </w:rPr>
              <w:t>encaminhamentos</w:t>
            </w:r>
          </w:p>
        </w:tc>
        <w:tc>
          <w:tcPr>
            <w:tcW w:w="1663" w:type="dxa"/>
            <w:tcBorders>
              <w:bottom w:val="single" w:sz="12" w:space="0" w:color="000000"/>
            </w:tcBorders>
            <w:shd w:val="clear" w:color="auto" w:fill="EEEEEE"/>
          </w:tcPr>
          <w:p>
            <w:pPr>
              <w:pStyle w:val="TableParagraph"/>
              <w:spacing w:before="100"/>
              <w:ind w:right="3"/>
              <w:rPr>
                <w:rFonts w:ascii="Arial"/>
                <w:b/>
                <w:sz w:val="22"/>
              </w:rPr>
            </w:pPr>
            <w:r>
              <w:rPr>
                <w:rFonts w:ascii="Arial"/>
                <w:b/>
                <w:spacing w:val="-4"/>
                <w:sz w:val="22"/>
              </w:rPr>
              <w:t>Data</w:t>
            </w:r>
          </w:p>
        </w:tc>
        <w:tc>
          <w:tcPr>
            <w:tcW w:w="1869" w:type="dxa"/>
            <w:tcBorders>
              <w:bottom w:val="single" w:sz="12" w:space="0" w:color="000000"/>
            </w:tcBorders>
            <w:shd w:val="clear" w:color="auto" w:fill="EEEEEE"/>
          </w:tcPr>
          <w:p>
            <w:pPr>
              <w:pStyle w:val="TableParagraph"/>
              <w:spacing w:before="100"/>
              <w:rPr>
                <w:rFonts w:ascii="Arial"/>
                <w:b/>
                <w:sz w:val="22"/>
              </w:rPr>
            </w:pPr>
            <w:r>
              <w:rPr>
                <w:rFonts w:ascii="Arial"/>
                <w:b/>
                <w:spacing w:val="-2"/>
                <w:sz w:val="22"/>
              </w:rPr>
              <w:t>Destino</w:t>
            </w:r>
          </w:p>
        </w:tc>
      </w:tr>
      <w:tr>
        <w:trPr>
          <w:trHeight w:val="726" w:hRule="atLeast"/>
        </w:trPr>
        <w:tc>
          <w:tcPr>
            <w:tcW w:w="602" w:type="dxa"/>
            <w:tcBorders>
              <w:right w:val="single" w:sz="12" w:space="0" w:color="000000"/>
            </w:tcBorders>
          </w:tcPr>
          <w:p>
            <w:pPr>
              <w:pStyle w:val="TableParagraph"/>
              <w:spacing w:before="233"/>
              <w:ind w:left="37"/>
              <w:rPr>
                <w:rFonts w:ascii="Arial"/>
                <w:b/>
                <w:sz w:val="22"/>
              </w:rPr>
            </w:pPr>
            <w:r>
              <w:rPr>
                <w:rFonts w:ascii="Arial"/>
                <w:b/>
                <w:spacing w:val="-10"/>
                <w:sz w:val="22"/>
              </w:rPr>
              <w:t>1</w:t>
            </w:r>
          </w:p>
        </w:tc>
        <w:tc>
          <w:tcPr>
            <w:tcW w:w="4426" w:type="dxa"/>
            <w:tcBorders>
              <w:top w:val="single" w:sz="12" w:space="0" w:color="000000"/>
              <w:left w:val="single" w:sz="12" w:space="0" w:color="000000"/>
              <w:bottom w:val="single" w:sz="12" w:space="0" w:color="000000"/>
            </w:tcBorders>
          </w:tcPr>
          <w:p>
            <w:pPr>
              <w:pStyle w:val="TableParagraph"/>
              <w:spacing w:line="256" w:lineRule="auto" w:before="89"/>
              <w:ind w:left="1637" w:right="65" w:hanging="1549"/>
              <w:jc w:val="left"/>
              <w:rPr>
                <w:sz w:val="22"/>
              </w:rPr>
            </w:pPr>
            <w:r>
              <w:rPr>
                <w:sz w:val="22"/>
              </w:rPr>
              <w:t>.</w:t>
            </w:r>
            <w:r>
              <w:rPr>
                <w:spacing w:val="-16"/>
                <w:sz w:val="22"/>
              </w:rPr>
              <w:t> </w:t>
            </w:r>
            <w:r>
              <w:rPr>
                <w:sz w:val="22"/>
              </w:rPr>
              <w:t>Apuração</w:t>
            </w:r>
            <w:r>
              <w:rPr>
                <w:spacing w:val="-8"/>
                <w:sz w:val="22"/>
              </w:rPr>
              <w:t> </w:t>
            </w:r>
            <w:r>
              <w:rPr>
                <w:sz w:val="22"/>
              </w:rPr>
              <w:t>das</w:t>
            </w:r>
            <w:r>
              <w:rPr>
                <w:spacing w:val="-10"/>
                <w:sz w:val="22"/>
              </w:rPr>
              <w:t> </w:t>
            </w:r>
            <w:r>
              <w:rPr>
                <w:sz w:val="22"/>
              </w:rPr>
              <w:t>denúncias</w:t>
            </w:r>
            <w:r>
              <w:rPr>
                <w:spacing w:val="-7"/>
                <w:sz w:val="22"/>
              </w:rPr>
              <w:t> </w:t>
            </w:r>
            <w:r>
              <w:rPr>
                <w:sz w:val="22"/>
              </w:rPr>
              <w:t>sobre</w:t>
            </w:r>
            <w:r>
              <w:rPr>
                <w:spacing w:val="-10"/>
                <w:sz w:val="22"/>
              </w:rPr>
              <w:t> </w:t>
            </w:r>
            <w:r>
              <w:rPr>
                <w:sz w:val="22"/>
              </w:rPr>
              <w:t>apreensão de carroças</w:t>
            </w:r>
          </w:p>
        </w:tc>
        <w:tc>
          <w:tcPr>
            <w:tcW w:w="1663" w:type="dxa"/>
            <w:tcBorders>
              <w:top w:val="single" w:sz="12" w:space="0" w:color="000000"/>
              <w:bottom w:val="single" w:sz="12" w:space="0" w:color="000000"/>
            </w:tcBorders>
          </w:tcPr>
          <w:p>
            <w:pPr>
              <w:pStyle w:val="TableParagraph"/>
              <w:spacing w:before="225"/>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line="256" w:lineRule="auto" w:before="89"/>
              <w:ind w:left="539" w:hanging="245"/>
              <w:jc w:val="left"/>
              <w:rPr>
                <w:sz w:val="22"/>
              </w:rPr>
            </w:pPr>
            <w:r>
              <w:rPr>
                <w:spacing w:val="-2"/>
                <w:sz w:val="22"/>
              </w:rPr>
              <w:t>CONSELHO/ SMDHC</w:t>
            </w:r>
          </w:p>
        </w:tc>
      </w:tr>
      <w:tr>
        <w:trPr>
          <w:trHeight w:val="725"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2</w:t>
            </w:r>
          </w:p>
        </w:tc>
        <w:tc>
          <w:tcPr>
            <w:tcW w:w="4426" w:type="dxa"/>
            <w:tcBorders>
              <w:top w:val="single" w:sz="12" w:space="0" w:color="000000"/>
              <w:left w:val="single" w:sz="12" w:space="0" w:color="000000"/>
              <w:bottom w:val="single" w:sz="12" w:space="0" w:color="000000"/>
            </w:tcBorders>
          </w:tcPr>
          <w:p>
            <w:pPr>
              <w:pStyle w:val="TableParagraph"/>
              <w:spacing w:before="225"/>
              <w:ind w:left="20" w:right="1"/>
              <w:rPr>
                <w:sz w:val="22"/>
              </w:rPr>
            </w:pPr>
            <w:r>
              <w:rPr>
                <w:sz w:val="22"/>
              </w:rPr>
              <w:t>Verificação</w:t>
            </w:r>
            <w:r>
              <w:rPr>
                <w:spacing w:val="-8"/>
                <w:sz w:val="22"/>
              </w:rPr>
              <w:t> </w:t>
            </w:r>
            <w:r>
              <w:rPr>
                <w:sz w:val="22"/>
              </w:rPr>
              <w:t>dos</w:t>
            </w:r>
            <w:r>
              <w:rPr>
                <w:spacing w:val="-10"/>
                <w:sz w:val="22"/>
              </w:rPr>
              <w:t> </w:t>
            </w:r>
            <w:r>
              <w:rPr>
                <w:sz w:val="22"/>
              </w:rPr>
              <w:t>fluxos</w:t>
            </w:r>
            <w:r>
              <w:rPr>
                <w:spacing w:val="-7"/>
                <w:sz w:val="22"/>
              </w:rPr>
              <w:t> </w:t>
            </w:r>
            <w:r>
              <w:rPr>
                <w:sz w:val="22"/>
              </w:rPr>
              <w:t>da</w:t>
            </w:r>
            <w:r>
              <w:rPr>
                <w:spacing w:val="-9"/>
                <w:sz w:val="22"/>
              </w:rPr>
              <w:t> </w:t>
            </w:r>
            <w:r>
              <w:rPr>
                <w:sz w:val="22"/>
              </w:rPr>
              <w:t>zeladoria</w:t>
            </w:r>
            <w:r>
              <w:rPr>
                <w:spacing w:val="-7"/>
                <w:sz w:val="22"/>
              </w:rPr>
              <w:t> </w:t>
            </w:r>
            <w:r>
              <w:rPr>
                <w:spacing w:val="-2"/>
                <w:sz w:val="22"/>
              </w:rPr>
              <w:t>urbana</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ight="2"/>
              <w:rPr>
                <w:sz w:val="22"/>
              </w:rPr>
            </w:pPr>
            <w:r>
              <w:rPr>
                <w:spacing w:val="-2"/>
                <w:sz w:val="22"/>
              </w:rPr>
              <w:t>SMSUB</w:t>
            </w:r>
          </w:p>
        </w:tc>
      </w:tr>
      <w:tr>
        <w:trPr>
          <w:trHeight w:val="726"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3</w:t>
            </w:r>
          </w:p>
        </w:tc>
        <w:tc>
          <w:tcPr>
            <w:tcW w:w="4426" w:type="dxa"/>
            <w:tcBorders>
              <w:top w:val="single" w:sz="12" w:space="0" w:color="000000"/>
              <w:left w:val="single" w:sz="12" w:space="0" w:color="000000"/>
              <w:bottom w:val="single" w:sz="12" w:space="0" w:color="000000"/>
            </w:tcBorders>
          </w:tcPr>
          <w:p>
            <w:pPr>
              <w:pStyle w:val="TableParagraph"/>
              <w:spacing w:before="225"/>
              <w:ind w:left="20"/>
              <w:rPr>
                <w:sz w:val="22"/>
              </w:rPr>
            </w:pPr>
            <w:r>
              <w:rPr>
                <w:sz w:val="22"/>
              </w:rPr>
              <w:t>Análise</w:t>
            </w:r>
            <w:r>
              <w:rPr>
                <w:spacing w:val="-5"/>
                <w:sz w:val="22"/>
              </w:rPr>
              <w:t> </w:t>
            </w:r>
            <w:r>
              <w:rPr>
                <w:sz w:val="22"/>
              </w:rPr>
              <w:t>da</w:t>
            </w:r>
            <w:r>
              <w:rPr>
                <w:spacing w:val="-5"/>
                <w:sz w:val="22"/>
              </w:rPr>
              <w:t> </w:t>
            </w:r>
            <w:r>
              <w:rPr>
                <w:sz w:val="22"/>
              </w:rPr>
              <w:t>retirada</w:t>
            </w:r>
            <w:r>
              <w:rPr>
                <w:spacing w:val="-5"/>
                <w:sz w:val="22"/>
              </w:rPr>
              <w:t> </w:t>
            </w:r>
            <w:r>
              <w:rPr>
                <w:sz w:val="22"/>
              </w:rPr>
              <w:t>de</w:t>
            </w:r>
            <w:r>
              <w:rPr>
                <w:spacing w:val="-7"/>
                <w:sz w:val="22"/>
              </w:rPr>
              <w:t> </w:t>
            </w:r>
            <w:r>
              <w:rPr>
                <w:sz w:val="22"/>
              </w:rPr>
              <w:t>pertences</w:t>
            </w:r>
            <w:r>
              <w:rPr>
                <w:spacing w:val="-6"/>
                <w:sz w:val="22"/>
              </w:rPr>
              <w:t> </w:t>
            </w:r>
            <w:r>
              <w:rPr>
                <w:spacing w:val="-2"/>
                <w:sz w:val="22"/>
              </w:rPr>
              <w:t>pessoais</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Pr>
                <w:sz w:val="22"/>
              </w:rPr>
            </w:pPr>
            <w:r>
              <w:rPr>
                <w:spacing w:val="-2"/>
                <w:sz w:val="22"/>
              </w:rPr>
              <w:t>SMSUB/SGM</w:t>
            </w:r>
          </w:p>
        </w:tc>
      </w:tr>
      <w:tr>
        <w:trPr>
          <w:trHeight w:val="726"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4</w:t>
            </w:r>
          </w:p>
        </w:tc>
        <w:tc>
          <w:tcPr>
            <w:tcW w:w="4426" w:type="dxa"/>
            <w:tcBorders>
              <w:top w:val="single" w:sz="12" w:space="0" w:color="000000"/>
              <w:left w:val="single" w:sz="12" w:space="0" w:color="000000"/>
              <w:bottom w:val="single" w:sz="12" w:space="0" w:color="000000"/>
            </w:tcBorders>
          </w:tcPr>
          <w:p>
            <w:pPr>
              <w:pStyle w:val="TableParagraph"/>
              <w:tabs>
                <w:tab w:pos="2278" w:val="left" w:leader="none"/>
                <w:tab w:pos="3332" w:val="left" w:leader="none"/>
              </w:tabs>
              <w:spacing w:line="256" w:lineRule="auto"/>
              <w:ind w:left="88" w:right="65"/>
              <w:jc w:val="left"/>
              <w:rPr>
                <w:sz w:val="22"/>
              </w:rPr>
            </w:pPr>
            <w:r>
              <w:rPr>
                <w:spacing w:val="-2"/>
                <w:sz w:val="22"/>
              </w:rPr>
              <w:t>Sistematização</w:t>
            </w:r>
            <w:r>
              <w:rPr>
                <w:sz w:val="22"/>
              </w:rPr>
              <w:tab/>
            </w:r>
            <w:r>
              <w:rPr>
                <w:spacing w:val="-4"/>
                <w:sz w:val="22"/>
              </w:rPr>
              <w:t>das</w:t>
            </w:r>
            <w:r>
              <w:rPr>
                <w:sz w:val="22"/>
              </w:rPr>
              <w:tab/>
            </w:r>
            <w:r>
              <w:rPr>
                <w:spacing w:val="-2"/>
                <w:sz w:val="22"/>
              </w:rPr>
              <w:t>denúncias apresentadas</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Pr>
                <w:sz w:val="22"/>
              </w:rPr>
            </w:pPr>
            <w:r>
              <w:rPr>
                <w:spacing w:val="-2"/>
                <w:sz w:val="22"/>
              </w:rPr>
              <w:t>ODH/SMDHC</w:t>
            </w:r>
          </w:p>
        </w:tc>
      </w:tr>
      <w:tr>
        <w:trPr>
          <w:trHeight w:val="726"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5</w:t>
            </w:r>
          </w:p>
        </w:tc>
        <w:tc>
          <w:tcPr>
            <w:tcW w:w="4426" w:type="dxa"/>
            <w:tcBorders>
              <w:top w:val="single" w:sz="12" w:space="0" w:color="000000"/>
              <w:left w:val="single" w:sz="12" w:space="0" w:color="000000"/>
            </w:tcBorders>
          </w:tcPr>
          <w:p>
            <w:pPr>
              <w:pStyle w:val="TableParagraph"/>
              <w:tabs>
                <w:tab w:pos="1520" w:val="left" w:leader="none"/>
                <w:tab w:pos="2134" w:val="left" w:leader="none"/>
                <w:tab w:pos="4092" w:val="left" w:leader="none"/>
              </w:tabs>
              <w:spacing w:line="259" w:lineRule="auto"/>
              <w:ind w:left="88" w:right="65"/>
              <w:jc w:val="left"/>
              <w:rPr>
                <w:sz w:val="22"/>
              </w:rPr>
            </w:pPr>
            <w:r>
              <w:rPr>
                <w:spacing w:val="-2"/>
                <w:sz w:val="22"/>
              </w:rPr>
              <w:t>Solicitação</w:t>
            </w:r>
            <w:r>
              <w:rPr>
                <w:sz w:val="22"/>
              </w:rPr>
              <w:tab/>
            </w:r>
            <w:r>
              <w:rPr>
                <w:spacing w:val="-6"/>
                <w:sz w:val="22"/>
              </w:rPr>
              <w:t>de</w:t>
            </w:r>
            <w:r>
              <w:rPr>
                <w:sz w:val="22"/>
              </w:rPr>
              <w:tab/>
            </w:r>
            <w:r>
              <w:rPr>
                <w:spacing w:val="-2"/>
                <w:sz w:val="22"/>
              </w:rPr>
              <w:t>esclarecimentos</w:t>
            </w:r>
            <w:r>
              <w:rPr>
                <w:sz w:val="22"/>
              </w:rPr>
              <w:tab/>
            </w:r>
            <w:r>
              <w:rPr>
                <w:spacing w:val="-6"/>
                <w:sz w:val="22"/>
              </w:rPr>
              <w:t>da </w:t>
            </w:r>
            <w:r>
              <w:rPr>
                <w:sz w:val="22"/>
              </w:rPr>
              <w:t>zeladoria urbana</w:t>
            </w:r>
          </w:p>
        </w:tc>
        <w:tc>
          <w:tcPr>
            <w:tcW w:w="1663" w:type="dxa"/>
            <w:tcBorders>
              <w:top w:val="single" w:sz="12" w:space="0" w:color="000000"/>
            </w:tcBorders>
          </w:tcPr>
          <w:p>
            <w:pPr>
              <w:pStyle w:val="TableParagraph"/>
              <w:rPr>
                <w:sz w:val="22"/>
              </w:rPr>
            </w:pPr>
            <w:r>
              <w:rPr>
                <w:spacing w:val="-2"/>
                <w:sz w:val="22"/>
              </w:rPr>
              <w:t>29/04/2026</w:t>
            </w:r>
          </w:p>
        </w:tc>
        <w:tc>
          <w:tcPr>
            <w:tcW w:w="1869" w:type="dxa"/>
            <w:tcBorders>
              <w:top w:val="single" w:sz="12" w:space="0" w:color="000000"/>
              <w:right w:val="single" w:sz="12" w:space="0" w:color="000000"/>
            </w:tcBorders>
          </w:tcPr>
          <w:p>
            <w:pPr>
              <w:pStyle w:val="TableParagraph"/>
              <w:spacing w:before="225"/>
              <w:ind w:left="38" w:right="2"/>
              <w:rPr>
                <w:sz w:val="22"/>
              </w:rPr>
            </w:pPr>
            <w:r>
              <w:rPr>
                <w:spacing w:val="-2"/>
                <w:sz w:val="22"/>
              </w:rPr>
              <w:t>SMADS</w:t>
            </w:r>
          </w:p>
        </w:tc>
      </w:tr>
    </w:tbl>
    <w:p>
      <w:pPr>
        <w:pStyle w:val="TableParagraph"/>
        <w:spacing w:after="0"/>
        <w:rPr>
          <w:sz w:val="22"/>
        </w:rPr>
        <w:sectPr>
          <w:pgSz w:w="11910" w:h="16840"/>
          <w:pgMar w:header="0" w:footer="1178" w:top="1360" w:bottom="1360" w:left="1559" w:right="1559"/>
        </w:sectPr>
      </w:pPr>
    </w:p>
    <w:p>
      <w:pPr>
        <w:pStyle w:val="BodyText"/>
        <w:spacing w:before="2"/>
        <w:ind w:left="0"/>
        <w:rPr>
          <w:sz w:val="2"/>
        </w:rPr>
      </w:pPr>
    </w:p>
    <w:tbl>
      <w:tblPr>
        <w:tblW w:w="0" w:type="auto"/>
        <w:jc w:val="left"/>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02"/>
        <w:gridCol w:w="4426"/>
        <w:gridCol w:w="1663"/>
        <w:gridCol w:w="1869"/>
      </w:tblGrid>
      <w:tr>
        <w:trPr>
          <w:trHeight w:val="726"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6</w:t>
            </w:r>
          </w:p>
        </w:tc>
        <w:tc>
          <w:tcPr>
            <w:tcW w:w="4426" w:type="dxa"/>
            <w:tcBorders>
              <w:top w:val="single" w:sz="12" w:space="0" w:color="000000"/>
              <w:left w:val="single" w:sz="12" w:space="0" w:color="000000"/>
              <w:bottom w:val="single" w:sz="12" w:space="0" w:color="000000"/>
            </w:tcBorders>
          </w:tcPr>
          <w:p>
            <w:pPr>
              <w:pStyle w:val="TableParagraph"/>
              <w:spacing w:line="259" w:lineRule="auto"/>
              <w:ind w:left="736" w:right="65" w:hanging="255"/>
              <w:jc w:val="left"/>
              <w:rPr>
                <w:sz w:val="22"/>
              </w:rPr>
            </w:pPr>
            <w:r>
              <w:rPr>
                <w:sz w:val="22"/>
              </w:rPr>
              <w:t>Avaliação</w:t>
            </w:r>
            <w:r>
              <w:rPr>
                <w:spacing w:val="-8"/>
                <w:sz w:val="22"/>
              </w:rPr>
              <w:t> </w:t>
            </w:r>
            <w:r>
              <w:rPr>
                <w:sz w:val="22"/>
              </w:rPr>
              <w:t>do</w:t>
            </w:r>
            <w:r>
              <w:rPr>
                <w:spacing w:val="-8"/>
                <w:sz w:val="22"/>
              </w:rPr>
              <w:t> </w:t>
            </w:r>
            <w:r>
              <w:rPr>
                <w:sz w:val="22"/>
              </w:rPr>
              <w:t>impacto</w:t>
            </w:r>
            <w:r>
              <w:rPr>
                <w:spacing w:val="-10"/>
                <w:sz w:val="22"/>
              </w:rPr>
              <w:t> </w:t>
            </w:r>
            <w:r>
              <w:rPr>
                <w:sz w:val="22"/>
              </w:rPr>
              <w:t>das</w:t>
            </w:r>
            <w:r>
              <w:rPr>
                <w:spacing w:val="-7"/>
                <w:sz w:val="22"/>
              </w:rPr>
              <w:t> </w:t>
            </w:r>
            <w:r>
              <w:rPr>
                <w:sz w:val="22"/>
              </w:rPr>
              <w:t>ações</w:t>
            </w:r>
            <w:r>
              <w:rPr>
                <w:spacing w:val="-10"/>
                <w:sz w:val="22"/>
              </w:rPr>
              <w:t> </w:t>
            </w:r>
            <w:r>
              <w:rPr>
                <w:sz w:val="22"/>
              </w:rPr>
              <w:t>na população em situação de rua</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ight="2"/>
              <w:rPr>
                <w:sz w:val="22"/>
              </w:rPr>
            </w:pPr>
            <w:r>
              <w:rPr>
                <w:spacing w:val="-2"/>
                <w:sz w:val="22"/>
              </w:rPr>
              <w:t>SMDHC</w:t>
            </w:r>
          </w:p>
        </w:tc>
      </w:tr>
      <w:tr>
        <w:trPr>
          <w:trHeight w:val="725"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7</w:t>
            </w:r>
          </w:p>
        </w:tc>
        <w:tc>
          <w:tcPr>
            <w:tcW w:w="4426" w:type="dxa"/>
            <w:tcBorders>
              <w:top w:val="single" w:sz="12" w:space="0" w:color="000000"/>
              <w:left w:val="single" w:sz="12" w:space="0" w:color="000000"/>
              <w:bottom w:val="single" w:sz="12" w:space="0" w:color="000000"/>
            </w:tcBorders>
          </w:tcPr>
          <w:p>
            <w:pPr>
              <w:pStyle w:val="TableParagraph"/>
              <w:spacing w:before="225"/>
              <w:ind w:left="155"/>
              <w:jc w:val="left"/>
              <w:rPr>
                <w:sz w:val="22"/>
              </w:rPr>
            </w:pPr>
            <w:r>
              <w:rPr>
                <w:sz w:val="22"/>
              </w:rPr>
              <w:t>Monitoramento</w:t>
            </w:r>
            <w:r>
              <w:rPr>
                <w:spacing w:val="-6"/>
                <w:sz w:val="22"/>
              </w:rPr>
              <w:t> </w:t>
            </w:r>
            <w:r>
              <w:rPr>
                <w:sz w:val="22"/>
              </w:rPr>
              <w:t>dos</w:t>
            </w:r>
            <w:r>
              <w:rPr>
                <w:spacing w:val="-7"/>
                <w:sz w:val="22"/>
              </w:rPr>
              <w:t> </w:t>
            </w:r>
            <w:r>
              <w:rPr>
                <w:sz w:val="22"/>
              </w:rPr>
              <w:t>relatórios</w:t>
            </w:r>
            <w:r>
              <w:rPr>
                <w:spacing w:val="-4"/>
                <w:sz w:val="22"/>
              </w:rPr>
              <w:t> </w:t>
            </w:r>
            <w:r>
              <w:rPr>
                <w:sz w:val="22"/>
              </w:rPr>
              <w:t>de</w:t>
            </w:r>
            <w:r>
              <w:rPr>
                <w:spacing w:val="-5"/>
                <w:sz w:val="22"/>
              </w:rPr>
              <w:t> </w:t>
            </w:r>
            <w:r>
              <w:rPr>
                <w:spacing w:val="-2"/>
                <w:sz w:val="22"/>
              </w:rPr>
              <w:t>zeladoria</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ight="2"/>
              <w:rPr>
                <w:sz w:val="22"/>
              </w:rPr>
            </w:pPr>
            <w:r>
              <w:rPr>
                <w:spacing w:val="-2"/>
                <w:sz w:val="22"/>
              </w:rPr>
              <w:t>SMADS</w:t>
            </w:r>
          </w:p>
        </w:tc>
      </w:tr>
      <w:tr>
        <w:trPr>
          <w:trHeight w:val="726"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8</w:t>
            </w:r>
          </w:p>
        </w:tc>
        <w:tc>
          <w:tcPr>
            <w:tcW w:w="4426" w:type="dxa"/>
            <w:tcBorders>
              <w:top w:val="single" w:sz="12" w:space="0" w:color="000000"/>
              <w:left w:val="single" w:sz="12" w:space="0" w:color="000000"/>
              <w:bottom w:val="single" w:sz="12" w:space="0" w:color="000000"/>
            </w:tcBorders>
          </w:tcPr>
          <w:p>
            <w:pPr>
              <w:pStyle w:val="TableParagraph"/>
              <w:spacing w:line="259" w:lineRule="auto"/>
              <w:ind w:left="1140" w:right="65" w:hanging="735"/>
              <w:jc w:val="left"/>
              <w:rPr>
                <w:sz w:val="22"/>
              </w:rPr>
            </w:pPr>
            <w:r>
              <w:rPr>
                <w:sz w:val="22"/>
              </w:rPr>
              <w:t>Verificação</w:t>
            </w:r>
            <w:r>
              <w:rPr>
                <w:spacing w:val="-10"/>
                <w:sz w:val="22"/>
              </w:rPr>
              <w:t> </w:t>
            </w:r>
            <w:r>
              <w:rPr>
                <w:sz w:val="22"/>
              </w:rPr>
              <w:t>do</w:t>
            </w:r>
            <w:r>
              <w:rPr>
                <w:spacing w:val="-13"/>
                <w:sz w:val="22"/>
              </w:rPr>
              <w:t> </w:t>
            </w:r>
            <w:r>
              <w:rPr>
                <w:sz w:val="22"/>
              </w:rPr>
              <w:t>fluxo</w:t>
            </w:r>
            <w:r>
              <w:rPr>
                <w:spacing w:val="-10"/>
                <w:sz w:val="22"/>
              </w:rPr>
              <w:t> </w:t>
            </w:r>
            <w:r>
              <w:rPr>
                <w:sz w:val="22"/>
              </w:rPr>
              <w:t>de</w:t>
            </w:r>
            <w:r>
              <w:rPr>
                <w:spacing w:val="-10"/>
                <w:sz w:val="22"/>
              </w:rPr>
              <w:t> </w:t>
            </w:r>
            <w:r>
              <w:rPr>
                <w:sz w:val="22"/>
              </w:rPr>
              <w:t>solicitação</w:t>
            </w:r>
            <w:r>
              <w:rPr>
                <w:spacing w:val="-10"/>
                <w:sz w:val="22"/>
              </w:rPr>
              <w:t> </w:t>
            </w:r>
            <w:r>
              <w:rPr>
                <w:sz w:val="22"/>
              </w:rPr>
              <w:t>de vagas de acolhimento</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ight="3"/>
              <w:rPr>
                <w:sz w:val="22"/>
              </w:rPr>
            </w:pPr>
            <w:r>
              <w:rPr>
                <w:spacing w:val="-2"/>
                <w:sz w:val="22"/>
              </w:rPr>
              <w:t>CPAS/SMADS</w:t>
            </w:r>
          </w:p>
        </w:tc>
      </w:tr>
      <w:tr>
        <w:trPr>
          <w:trHeight w:val="725" w:hRule="atLeast"/>
        </w:trPr>
        <w:tc>
          <w:tcPr>
            <w:tcW w:w="602" w:type="dxa"/>
            <w:tcBorders>
              <w:right w:val="single" w:sz="12" w:space="0" w:color="000000"/>
            </w:tcBorders>
          </w:tcPr>
          <w:p>
            <w:pPr>
              <w:pStyle w:val="TableParagraph"/>
              <w:spacing w:before="232"/>
              <w:ind w:left="37"/>
              <w:rPr>
                <w:rFonts w:ascii="Arial"/>
                <w:b/>
                <w:sz w:val="22"/>
              </w:rPr>
            </w:pPr>
            <w:r>
              <w:rPr>
                <w:rFonts w:ascii="Arial"/>
                <w:b/>
                <w:spacing w:val="-10"/>
                <w:sz w:val="22"/>
              </w:rPr>
              <w:t>9</w:t>
            </w:r>
          </w:p>
        </w:tc>
        <w:tc>
          <w:tcPr>
            <w:tcW w:w="4426" w:type="dxa"/>
            <w:tcBorders>
              <w:top w:val="single" w:sz="12" w:space="0" w:color="000000"/>
              <w:left w:val="single" w:sz="12" w:space="0" w:color="000000"/>
              <w:bottom w:val="single" w:sz="12" w:space="0" w:color="000000"/>
            </w:tcBorders>
          </w:tcPr>
          <w:p>
            <w:pPr>
              <w:pStyle w:val="TableParagraph"/>
              <w:spacing w:line="259" w:lineRule="auto"/>
              <w:ind w:left="590" w:right="65" w:firstLine="204"/>
              <w:jc w:val="left"/>
              <w:rPr>
                <w:sz w:val="22"/>
              </w:rPr>
            </w:pPr>
            <w:r>
              <w:rPr>
                <w:sz w:val="22"/>
              </w:rPr>
              <w:t>Avaliação da transparência e rastreabilidade</w:t>
            </w:r>
            <w:r>
              <w:rPr>
                <w:spacing w:val="-16"/>
                <w:sz w:val="22"/>
              </w:rPr>
              <w:t> </w:t>
            </w:r>
            <w:r>
              <w:rPr>
                <w:sz w:val="22"/>
              </w:rPr>
              <w:t>dos</w:t>
            </w:r>
            <w:r>
              <w:rPr>
                <w:spacing w:val="-15"/>
                <w:sz w:val="22"/>
              </w:rPr>
              <w:t> </w:t>
            </w:r>
            <w:r>
              <w:rPr>
                <w:sz w:val="22"/>
              </w:rPr>
              <w:t>atendimentos</w:t>
            </w:r>
          </w:p>
        </w:tc>
        <w:tc>
          <w:tcPr>
            <w:tcW w:w="1663" w:type="dxa"/>
            <w:tcBorders>
              <w:top w:val="single" w:sz="12" w:space="0" w:color="000000"/>
              <w:bottom w:val="single" w:sz="12" w:space="0" w:color="000000"/>
            </w:tcBorders>
          </w:tcPr>
          <w:p>
            <w:pPr>
              <w:pStyle w:val="TableParagraph"/>
              <w:rPr>
                <w:sz w:val="22"/>
              </w:rPr>
            </w:pPr>
            <w:r>
              <w:rPr>
                <w:spacing w:val="-2"/>
                <w:sz w:val="22"/>
              </w:rPr>
              <w:t>29/04/2026</w:t>
            </w:r>
          </w:p>
        </w:tc>
        <w:tc>
          <w:tcPr>
            <w:tcW w:w="1869" w:type="dxa"/>
            <w:tcBorders>
              <w:top w:val="single" w:sz="12" w:space="0" w:color="000000"/>
              <w:bottom w:val="single" w:sz="12" w:space="0" w:color="000000"/>
              <w:right w:val="single" w:sz="12" w:space="0" w:color="000000"/>
            </w:tcBorders>
          </w:tcPr>
          <w:p>
            <w:pPr>
              <w:pStyle w:val="TableParagraph"/>
              <w:spacing w:before="225"/>
              <w:ind w:left="38" w:right="2"/>
              <w:rPr>
                <w:sz w:val="22"/>
              </w:rPr>
            </w:pPr>
            <w:r>
              <w:rPr>
                <w:spacing w:val="-2"/>
                <w:sz w:val="22"/>
              </w:rPr>
              <w:t>SMADS</w:t>
            </w:r>
          </w:p>
        </w:tc>
      </w:tr>
      <w:tr>
        <w:trPr>
          <w:trHeight w:val="726" w:hRule="atLeast"/>
        </w:trPr>
        <w:tc>
          <w:tcPr>
            <w:tcW w:w="602" w:type="dxa"/>
            <w:tcBorders>
              <w:right w:val="single" w:sz="12" w:space="0" w:color="000000"/>
            </w:tcBorders>
          </w:tcPr>
          <w:p>
            <w:pPr>
              <w:pStyle w:val="TableParagraph"/>
              <w:spacing w:before="232"/>
              <w:ind w:left="37" w:right="3"/>
              <w:rPr>
                <w:rFonts w:ascii="Arial"/>
                <w:b/>
                <w:sz w:val="22"/>
              </w:rPr>
            </w:pPr>
            <w:r>
              <w:rPr>
                <w:rFonts w:ascii="Arial"/>
                <w:b/>
                <w:spacing w:val="-5"/>
                <w:sz w:val="22"/>
              </w:rPr>
              <w:t>10</w:t>
            </w:r>
          </w:p>
        </w:tc>
        <w:tc>
          <w:tcPr>
            <w:tcW w:w="4426" w:type="dxa"/>
            <w:tcBorders>
              <w:top w:val="single" w:sz="12" w:space="0" w:color="000000"/>
              <w:left w:val="single" w:sz="12" w:space="0" w:color="000000"/>
            </w:tcBorders>
          </w:tcPr>
          <w:p>
            <w:pPr>
              <w:pStyle w:val="TableParagraph"/>
              <w:spacing w:line="259" w:lineRule="auto"/>
              <w:ind w:left="1874" w:right="65" w:hanging="1470"/>
              <w:jc w:val="left"/>
              <w:rPr>
                <w:sz w:val="22"/>
              </w:rPr>
            </w:pPr>
            <w:r>
              <w:rPr>
                <w:sz w:val="22"/>
              </w:rPr>
              <w:t>Continuidade</w:t>
            </w:r>
            <w:r>
              <w:rPr>
                <w:spacing w:val="-8"/>
                <w:sz w:val="22"/>
              </w:rPr>
              <w:t> </w:t>
            </w:r>
            <w:r>
              <w:rPr>
                <w:sz w:val="22"/>
              </w:rPr>
              <w:t>do</w:t>
            </w:r>
            <w:r>
              <w:rPr>
                <w:spacing w:val="-8"/>
                <w:sz w:val="22"/>
              </w:rPr>
              <w:t> </w:t>
            </w:r>
            <w:r>
              <w:rPr>
                <w:sz w:val="22"/>
              </w:rPr>
              <w:t>debate</w:t>
            </w:r>
            <w:r>
              <w:rPr>
                <w:spacing w:val="-12"/>
                <w:sz w:val="22"/>
              </w:rPr>
              <w:t> </w:t>
            </w:r>
            <w:r>
              <w:rPr>
                <w:sz w:val="22"/>
              </w:rPr>
              <w:t>em</w:t>
            </w:r>
            <w:r>
              <w:rPr>
                <w:spacing w:val="-9"/>
                <w:sz w:val="22"/>
              </w:rPr>
              <w:t> </w:t>
            </w:r>
            <w:r>
              <w:rPr>
                <w:sz w:val="22"/>
              </w:rPr>
              <w:t>reuniões </w:t>
            </w:r>
            <w:r>
              <w:rPr>
                <w:spacing w:val="-2"/>
                <w:sz w:val="22"/>
              </w:rPr>
              <w:t>futuras</w:t>
            </w:r>
          </w:p>
        </w:tc>
        <w:tc>
          <w:tcPr>
            <w:tcW w:w="1663" w:type="dxa"/>
            <w:tcBorders>
              <w:top w:val="single" w:sz="12" w:space="0" w:color="000000"/>
            </w:tcBorders>
          </w:tcPr>
          <w:p>
            <w:pPr>
              <w:pStyle w:val="TableParagraph"/>
              <w:rPr>
                <w:sz w:val="22"/>
              </w:rPr>
            </w:pPr>
            <w:r>
              <w:rPr>
                <w:spacing w:val="-2"/>
                <w:sz w:val="22"/>
              </w:rPr>
              <w:t>29/04/2026</w:t>
            </w:r>
          </w:p>
        </w:tc>
        <w:tc>
          <w:tcPr>
            <w:tcW w:w="1869" w:type="dxa"/>
            <w:tcBorders>
              <w:top w:val="single" w:sz="12" w:space="0" w:color="000000"/>
              <w:right w:val="single" w:sz="12" w:space="0" w:color="000000"/>
            </w:tcBorders>
          </w:tcPr>
          <w:p>
            <w:pPr>
              <w:pStyle w:val="TableParagraph"/>
              <w:spacing w:before="225"/>
              <w:ind w:left="38" w:right="2"/>
              <w:rPr>
                <w:sz w:val="22"/>
              </w:rPr>
            </w:pPr>
            <w:r>
              <w:rPr>
                <w:spacing w:val="-2"/>
                <w:sz w:val="22"/>
              </w:rPr>
              <w:t>SMDHC</w:t>
            </w:r>
          </w:p>
        </w:tc>
      </w:tr>
    </w:tbl>
    <w:p>
      <w:pPr>
        <w:pStyle w:val="BodyText"/>
        <w:spacing w:before="240"/>
        <w:ind w:right="140"/>
        <w:jc w:val="both"/>
      </w:pPr>
      <w:r>
        <w:rPr/>
        <w:t>Durante o encerramento, Beatriz Clemente questionou a efetividade das discussões diante da recorrência das denúncias, cobrando providências concretas em relação às práticas da zeladoria. Em paralelo, Gisele Abreu trouxe uma demanda urgente sobre famílias, incluindo mulheres com crianças, que aguardavam vagas de acolhimento em situação de</w:t>
      </w:r>
      <w:r>
        <w:rPr>
          <w:spacing w:val="40"/>
        </w:rPr>
        <w:t> </w:t>
      </w:r>
      <w:r>
        <w:rPr/>
        <w:t>vulnerabilidade, apontando inconsistências no sistema de registro e encaminhamento dessas </w:t>
      </w:r>
      <w:r>
        <w:rPr>
          <w:spacing w:val="-2"/>
        </w:rPr>
        <w:t>solicitações.</w:t>
      </w:r>
    </w:p>
    <w:p>
      <w:pPr>
        <w:pStyle w:val="BodyText"/>
        <w:spacing w:before="241"/>
        <w:ind w:right="140"/>
        <w:jc w:val="both"/>
      </w:pPr>
      <w:r>
        <w:rPr/>
        <w:t>Mary esclareceu que há diferença entre os protocolos gerados pela central 156 e aqueles internos da assistência social, o que pode gerar confusão no acompanhamento dos casos. Josoé informou que essa questão também seria registrada como demanda para análise, especialmente no que se refere ao funcionamento da central de vagas e à necessidade de maior transparência.</w:t>
      </w:r>
    </w:p>
    <w:p>
      <w:pPr>
        <w:pStyle w:val="BodyText"/>
        <w:spacing w:before="240"/>
        <w:ind w:right="142"/>
        <w:jc w:val="both"/>
      </w:pPr>
      <w:r>
        <w:rPr/>
        <w:t>Por fim, a reunião foi encaminhada para encerramento, com o compromisso de registro das demandas apresentadas e posterior apuração pelos órgãos responsáveis.</w:t>
      </w:r>
    </w:p>
    <w:p>
      <w:pPr>
        <w:pStyle w:val="BodyText"/>
        <w:spacing w:before="210"/>
        <w:ind w:left="0"/>
      </w:pPr>
    </w:p>
    <w:p>
      <w:pPr>
        <w:spacing w:before="0"/>
        <w:ind w:left="143" w:right="0" w:firstLine="0"/>
        <w:jc w:val="both"/>
        <w:rPr>
          <w:rFonts w:ascii="Arial" w:hAnsi="Arial"/>
          <w:b/>
          <w:sz w:val="22"/>
        </w:rPr>
      </w:pPr>
      <w:r>
        <w:rPr>
          <w:rFonts w:ascii="Arial" w:hAnsi="Arial"/>
          <w:b/>
          <w:color w:val="000080"/>
          <w:sz w:val="22"/>
          <w:u w:val="single" w:color="000080"/>
        </w:rPr>
        <w:t>Relatório</w:t>
      </w:r>
      <w:r>
        <w:rPr>
          <w:rFonts w:ascii="Arial" w:hAnsi="Arial"/>
          <w:b/>
          <w:color w:val="000080"/>
          <w:spacing w:val="-5"/>
          <w:sz w:val="22"/>
          <w:u w:val="single" w:color="000080"/>
        </w:rPr>
        <w:t> </w:t>
      </w:r>
      <w:r>
        <w:rPr>
          <w:rFonts w:ascii="Arial" w:hAnsi="Arial"/>
          <w:b/>
          <w:color w:val="000080"/>
          <w:spacing w:val="-2"/>
          <w:sz w:val="22"/>
          <w:u w:val="single" w:color="000080"/>
        </w:rPr>
        <w:t>11/2025</w:t>
      </w:r>
    </w:p>
    <w:p>
      <w:pPr>
        <w:spacing w:line="465" w:lineRule="auto" w:before="241"/>
        <w:ind w:left="143" w:right="5921" w:firstLine="0"/>
        <w:jc w:val="left"/>
        <w:rPr>
          <w:rFonts w:ascii="Arial" w:hAnsi="Arial"/>
          <w:b/>
          <w:sz w:val="22"/>
        </w:rPr>
      </w:pPr>
      <w:r>
        <w:rPr>
          <w:rFonts w:ascii="Arial" w:hAnsi="Arial"/>
          <w:b/>
          <w:color w:val="000080"/>
          <w:sz w:val="22"/>
          <w:u w:val="single" w:color="000080"/>
        </w:rPr>
        <w:t>Relatório</w:t>
      </w:r>
      <w:r>
        <w:rPr>
          <w:rFonts w:ascii="Arial" w:hAnsi="Arial"/>
          <w:b/>
          <w:color w:val="000080"/>
          <w:spacing w:val="-16"/>
          <w:sz w:val="22"/>
          <w:u w:val="single" w:color="000080"/>
        </w:rPr>
        <w:t> </w:t>
      </w:r>
      <w:r>
        <w:rPr>
          <w:rFonts w:ascii="Arial" w:hAnsi="Arial"/>
          <w:b/>
          <w:color w:val="000080"/>
          <w:sz w:val="22"/>
          <w:u w:val="single" w:color="000080"/>
        </w:rPr>
        <w:t>12/2025</w:t>
      </w:r>
      <w:r>
        <w:rPr>
          <w:rFonts w:ascii="Arial" w:hAnsi="Arial"/>
          <w:b/>
          <w:color w:val="000080"/>
          <w:sz w:val="22"/>
        </w:rPr>
        <w:t> </w:t>
      </w:r>
      <w:r>
        <w:rPr>
          <w:rFonts w:ascii="Arial" w:hAnsi="Arial"/>
          <w:b/>
          <w:color w:val="000080"/>
          <w:sz w:val="22"/>
          <w:u w:val="single" w:color="000080"/>
        </w:rPr>
        <w:t>Relatório</w:t>
      </w:r>
      <w:r>
        <w:rPr>
          <w:rFonts w:ascii="Arial" w:hAnsi="Arial"/>
          <w:b/>
          <w:color w:val="000080"/>
          <w:spacing w:val="-5"/>
          <w:sz w:val="22"/>
          <w:u w:val="single" w:color="000080"/>
        </w:rPr>
        <w:t> </w:t>
      </w:r>
      <w:r>
        <w:rPr>
          <w:rFonts w:ascii="Arial" w:hAnsi="Arial"/>
          <w:b/>
          <w:color w:val="000080"/>
          <w:spacing w:val="-2"/>
          <w:sz w:val="22"/>
          <w:u w:val="single" w:color="000080"/>
        </w:rPr>
        <w:t>01/2026</w:t>
      </w:r>
    </w:p>
    <w:p>
      <w:pPr>
        <w:pStyle w:val="BodyText"/>
        <w:spacing w:before="26"/>
        <w:ind w:left="0"/>
        <w:rPr>
          <w:rFonts w:ascii="Arial"/>
          <w:b/>
        </w:rPr>
      </w:pPr>
    </w:p>
    <w:p>
      <w:pPr>
        <w:spacing w:before="0"/>
        <w:ind w:left="143" w:right="0" w:firstLine="0"/>
        <w:jc w:val="left"/>
        <w:rPr>
          <w:rFonts w:ascii="Arial"/>
          <w:b/>
          <w:sz w:val="22"/>
        </w:rPr>
      </w:pPr>
      <w:r>
        <w:rPr>
          <w:rFonts w:ascii="Arial"/>
          <w:b/>
          <w:spacing w:val="-2"/>
          <w:sz w:val="22"/>
        </w:rPr>
        <w:t>Encaminhamentos</w:t>
      </w:r>
    </w:p>
    <w:sectPr>
      <w:pgSz w:w="11910" w:h="16840"/>
      <w:pgMar w:header="0" w:footer="1178" w:top="1380" w:bottom="136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68032">
              <wp:simplePos x="0" y="0"/>
              <wp:positionH relativeFrom="page">
                <wp:posOffset>1062532</wp:posOffset>
              </wp:positionH>
              <wp:positionV relativeFrom="page">
                <wp:posOffset>9974579</wp:posOffset>
              </wp:positionV>
              <wp:extent cx="5437505" cy="1841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437505" cy="18415"/>
                      </a:xfrm>
                      <a:custGeom>
                        <a:avLst/>
                        <a:gdLst/>
                        <a:ahLst/>
                        <a:cxnLst/>
                        <a:rect l="l" t="t" r="r" b="b"/>
                        <a:pathLst>
                          <a:path w="5437505" h="18415">
                            <a:moveTo>
                              <a:pt x="5437378" y="0"/>
                            </a:moveTo>
                            <a:lnTo>
                              <a:pt x="0" y="0"/>
                            </a:lnTo>
                            <a:lnTo>
                              <a:pt x="0" y="18287"/>
                            </a:lnTo>
                            <a:lnTo>
                              <a:pt x="5437378" y="18287"/>
                            </a:lnTo>
                            <a:lnTo>
                              <a:pt x="54373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3.664001pt;margin-top:785.399963pt;width:428.14pt;height:1.44pt;mso-position-horizontal-relative:page;mso-position-vertical-relative:page;z-index:-15848448"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8544">
              <wp:simplePos x="0" y="0"/>
              <wp:positionH relativeFrom="page">
                <wp:posOffset>2281554</wp:posOffset>
              </wp:positionH>
              <wp:positionV relativeFrom="page">
                <wp:posOffset>9804907</wp:posOffset>
              </wp:positionV>
              <wp:extent cx="2998470" cy="5378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98470" cy="537845"/>
                      </a:xfrm>
                      <a:prstGeom prst="rect">
                        <a:avLst/>
                      </a:prstGeom>
                    </wps:spPr>
                    <wps:txbx>
                      <w:txbxContent>
                        <w:p>
                          <w:pPr>
                            <w:pStyle w:val="BodyText"/>
                            <w:spacing w:line="245" w:lineRule="exact"/>
                            <w:ind w:left="2"/>
                            <w:jc w:val="center"/>
                            <w:rPr>
                              <w:b/>
                            </w:rPr>
                          </w:pPr>
                          <w:r>
                            <w:rPr/>
                            <w:t>Ata</w:t>
                          </w:r>
                          <w:r>
                            <w:rPr>
                              <w:spacing w:val="-5"/>
                            </w:rPr>
                            <w:t> </w:t>
                          </w:r>
                          <w:r>
                            <w:rPr/>
                            <w:t>de</w:t>
                          </w:r>
                          <w:r>
                            <w:rPr>
                              <w:spacing w:val="-7"/>
                            </w:rPr>
                            <w:t> </w:t>
                          </w:r>
                          <w:r>
                            <w:rPr/>
                            <w:t>Reunião</w:t>
                          </w:r>
                          <w:r>
                            <w:rPr>
                              <w:spacing w:val="-3"/>
                            </w:rPr>
                            <w:t> </w:t>
                          </w:r>
                          <w:r>
                            <w:rPr/>
                            <w:t>-</w:t>
                          </w:r>
                          <w:r>
                            <w:rPr>
                              <w:spacing w:val="-7"/>
                            </w:rPr>
                            <w:t> </w:t>
                          </w:r>
                          <w:r>
                            <w:rPr/>
                            <w:t>Página</w:t>
                          </w:r>
                          <w:r>
                            <w:rPr>
                              <w:spacing w:val="-6"/>
                            </w:rPr>
                            <w:t> </w:t>
                          </w:r>
                          <w:r>
                            <w:rPr>
                              <w:b/>
                            </w:rPr>
                            <w:fldChar w:fldCharType="begin"/>
                          </w:r>
                          <w:r>
                            <w:rPr>
                              <w:b/>
                            </w:rPr>
                            <w:instrText> PAGE </w:instrText>
                          </w:r>
                          <w:r>
                            <w:rPr>
                              <w:b/>
                            </w:rPr>
                            <w:fldChar w:fldCharType="separate"/>
                          </w:r>
                          <w:r>
                            <w:rPr>
                              <w:b/>
                            </w:rPr>
                            <w:t>1</w:t>
                          </w:r>
                          <w:r>
                            <w:rPr>
                              <w:b/>
                            </w:rPr>
                            <w:fldChar w:fldCharType="end"/>
                          </w:r>
                          <w:r>
                            <w:rPr>
                              <w:b/>
                              <w:spacing w:val="-4"/>
                            </w:rPr>
                            <w:t> </w:t>
                          </w:r>
                          <w:r>
                            <w:rPr/>
                            <w:t>de</w:t>
                          </w:r>
                          <w:r>
                            <w:rPr>
                              <w:spacing w:val="-3"/>
                            </w:rPr>
                            <w:t> </w:t>
                          </w:r>
                          <w:r>
                            <w:rPr>
                              <w:b/>
                              <w:spacing w:val="-10"/>
                            </w:rPr>
                            <w:fldChar w:fldCharType="begin"/>
                          </w:r>
                          <w:r>
                            <w:rPr>
                              <w:b/>
                              <w:spacing w:val="-10"/>
                            </w:rPr>
                            <w:instrText> NUMPAGES </w:instrText>
                          </w:r>
                          <w:r>
                            <w:rPr>
                              <w:b/>
                              <w:spacing w:val="-10"/>
                            </w:rPr>
                            <w:fldChar w:fldCharType="separate"/>
                          </w:r>
                          <w:r>
                            <w:rPr>
                              <w:b/>
                              <w:spacing w:val="-10"/>
                            </w:rPr>
                            <w:t>5</w:t>
                          </w:r>
                          <w:r>
                            <w:rPr>
                              <w:b/>
                              <w:spacing w:val="-10"/>
                            </w:rPr>
                            <w:fldChar w:fldCharType="end"/>
                          </w:r>
                        </w:p>
                        <w:p>
                          <w:pPr>
                            <w:pStyle w:val="BodyText"/>
                            <w:spacing w:before="48"/>
                            <w:ind w:left="2"/>
                            <w:jc w:val="center"/>
                          </w:pPr>
                          <w:r>
                            <w:rPr/>
                            <w:t>Secretaria</w:t>
                          </w:r>
                          <w:r>
                            <w:rPr>
                              <w:spacing w:val="-10"/>
                            </w:rPr>
                            <w:t> </w:t>
                          </w:r>
                          <w:r>
                            <w:rPr/>
                            <w:t>Municipal</w:t>
                          </w:r>
                          <w:r>
                            <w:rPr>
                              <w:spacing w:val="-9"/>
                            </w:rPr>
                            <w:t> </w:t>
                          </w:r>
                          <w:r>
                            <w:rPr/>
                            <w:t>de</w:t>
                          </w:r>
                          <w:r>
                            <w:rPr>
                              <w:spacing w:val="-10"/>
                            </w:rPr>
                            <w:t> </w:t>
                          </w:r>
                          <w:r>
                            <w:rPr/>
                            <w:t>Direitos</w:t>
                          </w:r>
                          <w:r>
                            <w:rPr>
                              <w:spacing w:val="-11"/>
                            </w:rPr>
                            <w:t> </w:t>
                          </w:r>
                          <w:r>
                            <w:rPr/>
                            <w:t>Humanos</w:t>
                          </w:r>
                          <w:r>
                            <w:rPr>
                              <w:spacing w:val="-9"/>
                            </w:rPr>
                            <w:t> </w:t>
                          </w:r>
                          <w:r>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9.649994pt;margin-top:772.039978pt;width:236.1pt;height:42.35pt;mso-position-horizontal-relative:page;mso-position-vertical-relative:page;z-index:-15847936" type="#_x0000_t202" id="docshape2" filled="false" stroked="false">
              <v:textbox inset="0,0,0,0">
                <w:txbxContent>
                  <w:p>
                    <w:pPr>
                      <w:pStyle w:val="BodyText"/>
                      <w:spacing w:line="245" w:lineRule="exact"/>
                      <w:ind w:left="2"/>
                      <w:jc w:val="center"/>
                      <w:rPr>
                        <w:b/>
                      </w:rPr>
                    </w:pPr>
                    <w:r>
                      <w:rPr/>
                      <w:t>Ata</w:t>
                    </w:r>
                    <w:r>
                      <w:rPr>
                        <w:spacing w:val="-5"/>
                      </w:rPr>
                      <w:t> </w:t>
                    </w:r>
                    <w:r>
                      <w:rPr/>
                      <w:t>de</w:t>
                    </w:r>
                    <w:r>
                      <w:rPr>
                        <w:spacing w:val="-7"/>
                      </w:rPr>
                      <w:t> </w:t>
                    </w:r>
                    <w:r>
                      <w:rPr/>
                      <w:t>Reunião</w:t>
                    </w:r>
                    <w:r>
                      <w:rPr>
                        <w:spacing w:val="-3"/>
                      </w:rPr>
                      <w:t> </w:t>
                    </w:r>
                    <w:r>
                      <w:rPr/>
                      <w:t>-</w:t>
                    </w:r>
                    <w:r>
                      <w:rPr>
                        <w:spacing w:val="-7"/>
                      </w:rPr>
                      <w:t> </w:t>
                    </w:r>
                    <w:r>
                      <w:rPr/>
                      <w:t>Página</w:t>
                    </w:r>
                    <w:r>
                      <w:rPr>
                        <w:spacing w:val="-6"/>
                      </w:rPr>
                      <w:t> </w:t>
                    </w:r>
                    <w:r>
                      <w:rPr>
                        <w:b/>
                      </w:rPr>
                      <w:fldChar w:fldCharType="begin"/>
                    </w:r>
                    <w:r>
                      <w:rPr>
                        <w:b/>
                      </w:rPr>
                      <w:instrText> PAGE </w:instrText>
                    </w:r>
                    <w:r>
                      <w:rPr>
                        <w:b/>
                      </w:rPr>
                      <w:fldChar w:fldCharType="separate"/>
                    </w:r>
                    <w:r>
                      <w:rPr>
                        <w:b/>
                      </w:rPr>
                      <w:t>1</w:t>
                    </w:r>
                    <w:r>
                      <w:rPr>
                        <w:b/>
                      </w:rPr>
                      <w:fldChar w:fldCharType="end"/>
                    </w:r>
                    <w:r>
                      <w:rPr>
                        <w:b/>
                        <w:spacing w:val="-4"/>
                      </w:rPr>
                      <w:t> </w:t>
                    </w:r>
                    <w:r>
                      <w:rPr/>
                      <w:t>de</w:t>
                    </w:r>
                    <w:r>
                      <w:rPr>
                        <w:spacing w:val="-3"/>
                      </w:rPr>
                      <w:t> </w:t>
                    </w:r>
                    <w:r>
                      <w:rPr>
                        <w:b/>
                        <w:spacing w:val="-10"/>
                      </w:rPr>
                      <w:fldChar w:fldCharType="begin"/>
                    </w:r>
                    <w:r>
                      <w:rPr>
                        <w:b/>
                        <w:spacing w:val="-10"/>
                      </w:rPr>
                      <w:instrText> NUMPAGES </w:instrText>
                    </w:r>
                    <w:r>
                      <w:rPr>
                        <w:b/>
                        <w:spacing w:val="-10"/>
                      </w:rPr>
                      <w:fldChar w:fldCharType="separate"/>
                    </w:r>
                    <w:r>
                      <w:rPr>
                        <w:b/>
                        <w:spacing w:val="-10"/>
                      </w:rPr>
                      <w:t>5</w:t>
                    </w:r>
                    <w:r>
                      <w:rPr>
                        <w:b/>
                        <w:spacing w:val="-10"/>
                      </w:rPr>
                      <w:fldChar w:fldCharType="end"/>
                    </w:r>
                  </w:p>
                  <w:p>
                    <w:pPr>
                      <w:pStyle w:val="BodyText"/>
                      <w:spacing w:before="48"/>
                      <w:ind w:left="2"/>
                      <w:jc w:val="center"/>
                    </w:pPr>
                    <w:r>
                      <w:rPr/>
                      <w:t>Secretaria</w:t>
                    </w:r>
                    <w:r>
                      <w:rPr>
                        <w:spacing w:val="-10"/>
                      </w:rPr>
                      <w:t> </w:t>
                    </w:r>
                    <w:r>
                      <w:rPr/>
                      <w:t>Municipal</w:t>
                    </w:r>
                    <w:r>
                      <w:rPr>
                        <w:spacing w:val="-9"/>
                      </w:rPr>
                      <w:t> </w:t>
                    </w:r>
                    <w:r>
                      <w:rPr/>
                      <w:t>de</w:t>
                    </w:r>
                    <w:r>
                      <w:rPr>
                        <w:spacing w:val="-10"/>
                      </w:rPr>
                      <w:t> </w:t>
                    </w:r>
                    <w:r>
                      <w:rPr/>
                      <w:t>Direitos</w:t>
                    </w:r>
                    <w:r>
                      <w:rPr>
                        <w:spacing w:val="-11"/>
                      </w:rPr>
                      <w:t> </w:t>
                    </w:r>
                    <w:r>
                      <w:rPr/>
                      <w:t>Humanos</w:t>
                    </w:r>
                    <w:r>
                      <w:rPr>
                        <w:spacing w:val="-9"/>
                      </w:rPr>
                      <w:t> </w:t>
                    </w:r>
                    <w:r>
                      <w:rPr/>
                      <w:t>Cidadania Rua Líbero Badaró, 119 - Sé, São Paulo - SP</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43"/>
    </w:pPr>
    <w:rPr>
      <w:rFonts w:ascii="Calibri" w:hAnsi="Calibri" w:eastAsia="Calibri" w:cs="Calibri"/>
      <w:sz w:val="22"/>
      <w:szCs w:val="22"/>
      <w:lang w:val="pt-PT" w:eastAsia="en-US" w:bidi="ar-SA"/>
    </w:rPr>
  </w:style>
  <w:style w:styleId="Heading1" w:type="paragraph">
    <w:name w:val="Heading 1"/>
    <w:basedOn w:val="Normal"/>
    <w:uiPriority w:val="1"/>
    <w:qFormat/>
    <w:pPr>
      <w:spacing w:line="341" w:lineRule="exact"/>
      <w:ind w:left="3"/>
      <w:jc w:val="center"/>
      <w:outlineLvl w:val="1"/>
    </w:pPr>
    <w:rPr>
      <w:rFonts w:ascii="Calibri" w:hAnsi="Calibri" w:eastAsia="Calibri" w:cs="Calibri"/>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88"/>
      <w:ind w:left="33"/>
      <w:jc w:val="center"/>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dcterms:created xsi:type="dcterms:W3CDTF">2026-08-13T13:34:24Z</dcterms:created>
  <dcterms:modified xsi:type="dcterms:W3CDTF">2026-08-13T13:34:24Z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2026-05-26T00:00:00Z</vt:filetime>
  </property>
  <property fmtid="{D5CDD505-2E9C-101B-9397-08002B2CF9AE}" pid="4" name="Creator">
    <vt:lpwstr>Microsoft® Word 2010</vt:lpwstr>
  </property>
  <property fmtid="{D5CDD505-2E9C-101B-9397-08002B2CF9AE}" pid="5" name="LastSaved">
    <vt:filetime>2026-08-13T00:00:00Z</vt:filetime>
  </property>
  <property fmtid="{D5CDD505-2E9C-101B-9397-08002B2CF9AE}" pid="6" name="Producer">
    <vt:lpwstr>Microsoft® Word 2010</vt:lpwstr>
  </property>
</Properties>
</file>